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0D23AF" w14:paraId="60C92F24" w14:textId="77777777" w:rsidTr="69E77BE1">
        <w:tc>
          <w:tcPr>
            <w:tcW w:w="8966" w:type="dxa"/>
          </w:tcPr>
          <w:p w14:paraId="78092898" w14:textId="77777777" w:rsidR="00CB4418" w:rsidRPr="00CB4418" w:rsidRDefault="00CB4418" w:rsidP="00CB4418">
            <w:pPr>
              <w:pStyle w:val="Title"/>
            </w:pPr>
            <w:r w:rsidRPr="00CB4418">
              <w:t>The Nagoya Protocol – Guidance for Researchers</w:t>
            </w:r>
          </w:p>
          <w:p w14:paraId="572926FA" w14:textId="126734F9" w:rsidR="000D23AF" w:rsidRPr="00C625B0" w:rsidRDefault="00CB4418" w:rsidP="00CB4418">
            <w:pPr>
              <w:pStyle w:val="Title"/>
            </w:pPr>
            <w:r w:rsidRPr="00CB4418">
              <w:t>(EHU)</w:t>
            </w:r>
          </w:p>
        </w:tc>
      </w:tr>
      <w:tr w:rsidR="000D23AF" w14:paraId="43B56ADA" w14:textId="77777777" w:rsidTr="69E77BE1">
        <w:tc>
          <w:tcPr>
            <w:tcW w:w="8966" w:type="dxa"/>
            <w:shd w:val="clear" w:color="auto" w:fill="0070C0"/>
          </w:tcPr>
          <w:p w14:paraId="21226E9E" w14:textId="77777777" w:rsidR="000D23AF" w:rsidRDefault="000D23AF" w:rsidP="00CC04D9">
            <w:pPr>
              <w:pStyle w:val="NoSpacing"/>
            </w:pPr>
          </w:p>
          <w:p w14:paraId="40FA6483" w14:textId="618F1D48" w:rsidR="000D23AF" w:rsidRPr="00C625B0" w:rsidRDefault="69E77BE1" w:rsidP="69E77BE1">
            <w:pPr>
              <w:pStyle w:val="NoSpacing"/>
              <w:rPr>
                <w:b/>
                <w:bCs/>
                <w:color w:val="FFFFFF" w:themeColor="background1"/>
              </w:rPr>
            </w:pPr>
            <w:r w:rsidRPr="69E77BE1">
              <w:rPr>
                <w:b/>
                <w:bCs/>
                <w:color w:val="FFFFFF" w:themeColor="background1"/>
              </w:rPr>
              <w:t>July 2019</w:t>
            </w:r>
          </w:p>
          <w:p w14:paraId="60EEC982" w14:textId="77777777" w:rsidR="000D23AF" w:rsidRDefault="000D23AF" w:rsidP="00CC04D9">
            <w:pPr>
              <w:pStyle w:val="NoSpacing"/>
            </w:pPr>
          </w:p>
        </w:tc>
      </w:tr>
    </w:tbl>
    <w:p w14:paraId="21D0F2E1" w14:textId="77777777" w:rsidR="00C625B0" w:rsidRDefault="00C625B0" w:rsidP="00722685">
      <w:pPr>
        <w:pStyle w:val="NoSpacing"/>
      </w:pPr>
    </w:p>
    <w:p w14:paraId="680278BA" w14:textId="77777777" w:rsidR="00C625B0" w:rsidRDefault="00C625B0" w:rsidP="00722685">
      <w:pPr>
        <w:pStyle w:val="NoSpacing"/>
      </w:pPr>
    </w:p>
    <w:p w14:paraId="41DE735A" w14:textId="77777777" w:rsidR="00C625B0" w:rsidRDefault="00C625B0" w:rsidP="00722685">
      <w:pPr>
        <w:pStyle w:val="NoSpacing"/>
      </w:pPr>
    </w:p>
    <w:p w14:paraId="0DFC203C" w14:textId="77777777" w:rsidR="00C625B0" w:rsidRDefault="00C625B0" w:rsidP="00722685">
      <w:pPr>
        <w:pStyle w:val="NoSpacing"/>
      </w:pPr>
    </w:p>
    <w:p w14:paraId="1C6D5DCA" w14:textId="77777777" w:rsidR="00C625B0" w:rsidRDefault="00C625B0" w:rsidP="00722685">
      <w:pPr>
        <w:pStyle w:val="NoSpacing"/>
      </w:pPr>
    </w:p>
    <w:p w14:paraId="2AB3C681" w14:textId="77777777" w:rsidR="00C625B0" w:rsidRDefault="00C625B0" w:rsidP="00722685">
      <w:pPr>
        <w:pStyle w:val="NoSpacing"/>
      </w:pPr>
    </w:p>
    <w:p w14:paraId="4DD31E93" w14:textId="77777777" w:rsidR="00C625B0" w:rsidRDefault="00C625B0" w:rsidP="00722685">
      <w:pPr>
        <w:pStyle w:val="NoSpacing"/>
      </w:pPr>
    </w:p>
    <w:p w14:paraId="3748D3D5" w14:textId="77777777" w:rsidR="00C625B0" w:rsidRDefault="00C625B0" w:rsidP="00722685">
      <w:pPr>
        <w:pStyle w:val="NoSpacing"/>
      </w:pPr>
    </w:p>
    <w:p w14:paraId="7FF35177" w14:textId="77777777" w:rsidR="00C625B0" w:rsidRDefault="00C625B0" w:rsidP="00722685">
      <w:pPr>
        <w:pStyle w:val="NoSpacing"/>
      </w:pPr>
    </w:p>
    <w:p w14:paraId="34894030" w14:textId="77777777" w:rsidR="00C625B0" w:rsidRDefault="00C625B0" w:rsidP="00722685">
      <w:pPr>
        <w:pStyle w:val="NoSpacing"/>
      </w:pPr>
    </w:p>
    <w:p w14:paraId="107031F4" w14:textId="77777777" w:rsidR="000D23AF" w:rsidRDefault="000D23AF" w:rsidP="00722685">
      <w:pPr>
        <w:pStyle w:val="NoSpacing"/>
      </w:pPr>
    </w:p>
    <w:p w14:paraId="3B39202D" w14:textId="77777777" w:rsidR="00C625B0" w:rsidRDefault="00C625B0" w:rsidP="00722685">
      <w:pPr>
        <w:pStyle w:val="NoSpacing"/>
      </w:pPr>
    </w:p>
    <w:p w14:paraId="19944394" w14:textId="77777777" w:rsidR="00C625B0" w:rsidRDefault="00C625B0" w:rsidP="00C625B0">
      <w:pPr>
        <w:pStyle w:val="NoSpacing"/>
        <w:jc w:val="right"/>
      </w:pPr>
    </w:p>
    <w:p w14:paraId="67F14773" w14:textId="77777777" w:rsidR="006A5B50" w:rsidRDefault="006A5B50">
      <w:pPr>
        <w:rPr>
          <w:b/>
          <w:sz w:val="36"/>
        </w:rPr>
      </w:pPr>
      <w:r>
        <w:rPr>
          <w:b/>
          <w:sz w:val="36"/>
        </w:rPr>
        <w:br w:type="page"/>
      </w:r>
    </w:p>
    <w:p w14:paraId="2E4EF9F2" w14:textId="3731BE84" w:rsidR="00AD3AC4" w:rsidRDefault="00CB4418">
      <w:pPr>
        <w:rPr>
          <w:b/>
          <w:sz w:val="36"/>
        </w:rPr>
      </w:pPr>
      <w:bookmarkStart w:id="0" w:name="_Hlk47620096"/>
      <w:r>
        <w:rPr>
          <w:b/>
          <w:sz w:val="36"/>
        </w:rPr>
        <w:lastRenderedPageBreak/>
        <w:t xml:space="preserve">The Nagoya Protocol Guide for Researchers (EHU) </w:t>
      </w:r>
    </w:p>
    <w:bookmarkEnd w:id="0" w:displacedByCustomXml="next"/>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26D7735C" w14:textId="77777777" w:rsidR="00351BCA" w:rsidRDefault="00351BCA">
          <w:pPr>
            <w:pStyle w:val="TOCHeading"/>
          </w:pPr>
          <w:r>
            <w:t>Contents</w:t>
          </w:r>
        </w:p>
        <w:p w14:paraId="470A896A" w14:textId="29A60CCE" w:rsidR="00886128"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8120274" w:history="1">
            <w:r w:rsidR="00886128" w:rsidRPr="003B2E28">
              <w:rPr>
                <w:rStyle w:val="Hyperlink"/>
                <w:noProof/>
              </w:rPr>
              <w:t>Summary</w:t>
            </w:r>
            <w:r w:rsidR="00886128">
              <w:rPr>
                <w:noProof/>
                <w:webHidden/>
              </w:rPr>
              <w:tab/>
            </w:r>
            <w:r w:rsidR="00886128">
              <w:rPr>
                <w:noProof/>
                <w:webHidden/>
              </w:rPr>
              <w:fldChar w:fldCharType="begin"/>
            </w:r>
            <w:r w:rsidR="00886128">
              <w:rPr>
                <w:noProof/>
                <w:webHidden/>
              </w:rPr>
              <w:instrText xml:space="preserve"> PAGEREF _Toc48120274 \h </w:instrText>
            </w:r>
            <w:r w:rsidR="00886128">
              <w:rPr>
                <w:noProof/>
                <w:webHidden/>
              </w:rPr>
            </w:r>
            <w:r w:rsidR="00886128">
              <w:rPr>
                <w:noProof/>
                <w:webHidden/>
              </w:rPr>
              <w:fldChar w:fldCharType="separate"/>
            </w:r>
            <w:r w:rsidR="00886128">
              <w:rPr>
                <w:noProof/>
                <w:webHidden/>
              </w:rPr>
              <w:t>3</w:t>
            </w:r>
            <w:r w:rsidR="00886128">
              <w:rPr>
                <w:noProof/>
                <w:webHidden/>
              </w:rPr>
              <w:fldChar w:fldCharType="end"/>
            </w:r>
          </w:hyperlink>
        </w:p>
        <w:p w14:paraId="7A467F2C" w14:textId="27D5985B" w:rsidR="00886128" w:rsidRDefault="00886128">
          <w:pPr>
            <w:pStyle w:val="TOC1"/>
            <w:tabs>
              <w:tab w:val="right" w:leader="dot" w:pos="9016"/>
            </w:tabs>
            <w:rPr>
              <w:rFonts w:asciiTheme="minorHAnsi" w:eastAsiaTheme="minorEastAsia" w:hAnsiTheme="minorHAnsi"/>
              <w:noProof/>
              <w:sz w:val="22"/>
              <w:lang w:eastAsia="en-GB"/>
            </w:rPr>
          </w:pPr>
          <w:hyperlink w:anchor="_Toc48120275" w:history="1">
            <w:r w:rsidRPr="003B2E28">
              <w:rPr>
                <w:rStyle w:val="Hyperlink"/>
                <w:noProof/>
              </w:rPr>
              <w:t>Glossary of Terms</w:t>
            </w:r>
            <w:r>
              <w:rPr>
                <w:noProof/>
                <w:webHidden/>
              </w:rPr>
              <w:tab/>
            </w:r>
            <w:r>
              <w:rPr>
                <w:noProof/>
                <w:webHidden/>
              </w:rPr>
              <w:fldChar w:fldCharType="begin"/>
            </w:r>
            <w:r>
              <w:rPr>
                <w:noProof/>
                <w:webHidden/>
              </w:rPr>
              <w:instrText xml:space="preserve"> PAGEREF _Toc48120275 \h </w:instrText>
            </w:r>
            <w:r>
              <w:rPr>
                <w:noProof/>
                <w:webHidden/>
              </w:rPr>
            </w:r>
            <w:r>
              <w:rPr>
                <w:noProof/>
                <w:webHidden/>
              </w:rPr>
              <w:fldChar w:fldCharType="separate"/>
            </w:r>
            <w:r>
              <w:rPr>
                <w:noProof/>
                <w:webHidden/>
              </w:rPr>
              <w:t>3</w:t>
            </w:r>
            <w:r>
              <w:rPr>
                <w:noProof/>
                <w:webHidden/>
              </w:rPr>
              <w:fldChar w:fldCharType="end"/>
            </w:r>
          </w:hyperlink>
        </w:p>
        <w:p w14:paraId="7D89A8C0" w14:textId="0E8DBC16" w:rsidR="00886128" w:rsidRDefault="00886128">
          <w:pPr>
            <w:pStyle w:val="TOC1"/>
            <w:tabs>
              <w:tab w:val="right" w:leader="dot" w:pos="9016"/>
            </w:tabs>
            <w:rPr>
              <w:rFonts w:asciiTheme="minorHAnsi" w:eastAsiaTheme="minorEastAsia" w:hAnsiTheme="minorHAnsi"/>
              <w:noProof/>
              <w:sz w:val="22"/>
              <w:lang w:eastAsia="en-GB"/>
            </w:rPr>
          </w:pPr>
          <w:hyperlink w:anchor="_Toc48120276" w:history="1">
            <w:r w:rsidRPr="003B2E28">
              <w:rPr>
                <w:rStyle w:val="Hyperlink"/>
                <w:noProof/>
              </w:rPr>
              <w:t>Purpose</w:t>
            </w:r>
            <w:r>
              <w:rPr>
                <w:noProof/>
                <w:webHidden/>
              </w:rPr>
              <w:tab/>
            </w:r>
            <w:r>
              <w:rPr>
                <w:noProof/>
                <w:webHidden/>
              </w:rPr>
              <w:fldChar w:fldCharType="begin"/>
            </w:r>
            <w:r>
              <w:rPr>
                <w:noProof/>
                <w:webHidden/>
              </w:rPr>
              <w:instrText xml:space="preserve"> PAGEREF _Toc48120276 \h </w:instrText>
            </w:r>
            <w:r>
              <w:rPr>
                <w:noProof/>
                <w:webHidden/>
              </w:rPr>
            </w:r>
            <w:r>
              <w:rPr>
                <w:noProof/>
                <w:webHidden/>
              </w:rPr>
              <w:fldChar w:fldCharType="separate"/>
            </w:r>
            <w:r>
              <w:rPr>
                <w:noProof/>
                <w:webHidden/>
              </w:rPr>
              <w:t>3</w:t>
            </w:r>
            <w:r>
              <w:rPr>
                <w:noProof/>
                <w:webHidden/>
              </w:rPr>
              <w:fldChar w:fldCharType="end"/>
            </w:r>
          </w:hyperlink>
        </w:p>
        <w:p w14:paraId="251BD200" w14:textId="3C98077F" w:rsidR="00886128" w:rsidRDefault="00886128">
          <w:pPr>
            <w:pStyle w:val="TOC1"/>
            <w:tabs>
              <w:tab w:val="right" w:leader="dot" w:pos="9016"/>
            </w:tabs>
            <w:rPr>
              <w:rFonts w:asciiTheme="minorHAnsi" w:eastAsiaTheme="minorEastAsia" w:hAnsiTheme="minorHAnsi"/>
              <w:noProof/>
              <w:sz w:val="22"/>
              <w:lang w:eastAsia="en-GB"/>
            </w:rPr>
          </w:pPr>
          <w:hyperlink w:anchor="_Toc48120277" w:history="1">
            <w:r w:rsidRPr="003B2E28">
              <w:rPr>
                <w:rStyle w:val="Hyperlink"/>
                <w:noProof/>
              </w:rPr>
              <w:t>The Nagoya Protocol Guide for Researchers (EHU)</w:t>
            </w:r>
            <w:r>
              <w:rPr>
                <w:noProof/>
                <w:webHidden/>
              </w:rPr>
              <w:tab/>
            </w:r>
            <w:r>
              <w:rPr>
                <w:noProof/>
                <w:webHidden/>
              </w:rPr>
              <w:fldChar w:fldCharType="begin"/>
            </w:r>
            <w:r>
              <w:rPr>
                <w:noProof/>
                <w:webHidden/>
              </w:rPr>
              <w:instrText xml:space="preserve"> PAGEREF _Toc48120277 \h </w:instrText>
            </w:r>
            <w:r>
              <w:rPr>
                <w:noProof/>
                <w:webHidden/>
              </w:rPr>
            </w:r>
            <w:r>
              <w:rPr>
                <w:noProof/>
                <w:webHidden/>
              </w:rPr>
              <w:fldChar w:fldCharType="separate"/>
            </w:r>
            <w:r>
              <w:rPr>
                <w:noProof/>
                <w:webHidden/>
              </w:rPr>
              <w:t>4</w:t>
            </w:r>
            <w:r>
              <w:rPr>
                <w:noProof/>
                <w:webHidden/>
              </w:rPr>
              <w:fldChar w:fldCharType="end"/>
            </w:r>
          </w:hyperlink>
        </w:p>
        <w:p w14:paraId="37541468" w14:textId="571869E6" w:rsidR="00886128" w:rsidRDefault="00886128">
          <w:pPr>
            <w:pStyle w:val="TOC2"/>
            <w:tabs>
              <w:tab w:val="left" w:pos="880"/>
              <w:tab w:val="right" w:leader="dot" w:pos="9016"/>
            </w:tabs>
            <w:rPr>
              <w:rFonts w:asciiTheme="minorHAnsi" w:eastAsiaTheme="minorEastAsia" w:hAnsiTheme="minorHAnsi"/>
              <w:noProof/>
              <w:sz w:val="22"/>
              <w:lang w:eastAsia="en-GB"/>
            </w:rPr>
          </w:pPr>
          <w:hyperlink w:anchor="_Toc48120278" w:history="1">
            <w:r w:rsidRPr="003B2E28">
              <w:rPr>
                <w:rStyle w:val="Hyperlink"/>
                <w:noProof/>
              </w:rPr>
              <w:t>1.</w:t>
            </w:r>
            <w:r>
              <w:rPr>
                <w:rFonts w:asciiTheme="minorHAnsi" w:eastAsiaTheme="minorEastAsia" w:hAnsiTheme="minorHAnsi"/>
                <w:noProof/>
                <w:sz w:val="22"/>
                <w:lang w:eastAsia="en-GB"/>
              </w:rPr>
              <w:tab/>
            </w:r>
            <w:r w:rsidRPr="003B2E28">
              <w:rPr>
                <w:rStyle w:val="Hyperlink"/>
                <w:noProof/>
              </w:rPr>
              <w:t>Introduction</w:t>
            </w:r>
            <w:r>
              <w:rPr>
                <w:noProof/>
                <w:webHidden/>
              </w:rPr>
              <w:tab/>
            </w:r>
            <w:r>
              <w:rPr>
                <w:noProof/>
                <w:webHidden/>
              </w:rPr>
              <w:fldChar w:fldCharType="begin"/>
            </w:r>
            <w:r>
              <w:rPr>
                <w:noProof/>
                <w:webHidden/>
              </w:rPr>
              <w:instrText xml:space="preserve"> PAGEREF _Toc48120278 \h </w:instrText>
            </w:r>
            <w:r>
              <w:rPr>
                <w:noProof/>
                <w:webHidden/>
              </w:rPr>
            </w:r>
            <w:r>
              <w:rPr>
                <w:noProof/>
                <w:webHidden/>
              </w:rPr>
              <w:fldChar w:fldCharType="separate"/>
            </w:r>
            <w:r>
              <w:rPr>
                <w:noProof/>
                <w:webHidden/>
              </w:rPr>
              <w:t>4</w:t>
            </w:r>
            <w:r>
              <w:rPr>
                <w:noProof/>
                <w:webHidden/>
              </w:rPr>
              <w:fldChar w:fldCharType="end"/>
            </w:r>
          </w:hyperlink>
        </w:p>
        <w:p w14:paraId="2F9F9B6B" w14:textId="53AFBE4D" w:rsidR="00886128" w:rsidRDefault="00886128">
          <w:pPr>
            <w:pStyle w:val="TOC2"/>
            <w:tabs>
              <w:tab w:val="left" w:pos="880"/>
              <w:tab w:val="right" w:leader="dot" w:pos="9016"/>
            </w:tabs>
            <w:rPr>
              <w:rFonts w:asciiTheme="minorHAnsi" w:eastAsiaTheme="minorEastAsia" w:hAnsiTheme="minorHAnsi"/>
              <w:noProof/>
              <w:sz w:val="22"/>
              <w:lang w:eastAsia="en-GB"/>
            </w:rPr>
          </w:pPr>
          <w:hyperlink w:anchor="_Toc48120279" w:history="1">
            <w:r w:rsidRPr="003B2E28">
              <w:rPr>
                <w:rStyle w:val="Hyperlink"/>
                <w:noProof/>
              </w:rPr>
              <w:t>2.</w:t>
            </w:r>
            <w:r>
              <w:rPr>
                <w:rFonts w:asciiTheme="minorHAnsi" w:eastAsiaTheme="minorEastAsia" w:hAnsiTheme="minorHAnsi"/>
                <w:noProof/>
                <w:sz w:val="22"/>
                <w:lang w:eastAsia="en-GB"/>
              </w:rPr>
              <w:tab/>
            </w:r>
            <w:r w:rsidRPr="003B2E28">
              <w:rPr>
                <w:rStyle w:val="Hyperlink"/>
                <w:noProof/>
              </w:rPr>
              <w:t>Process</w:t>
            </w:r>
            <w:r>
              <w:rPr>
                <w:noProof/>
                <w:webHidden/>
              </w:rPr>
              <w:tab/>
            </w:r>
            <w:r>
              <w:rPr>
                <w:noProof/>
                <w:webHidden/>
              </w:rPr>
              <w:fldChar w:fldCharType="begin"/>
            </w:r>
            <w:r>
              <w:rPr>
                <w:noProof/>
                <w:webHidden/>
              </w:rPr>
              <w:instrText xml:space="preserve"> PAGEREF _Toc48120279 \h </w:instrText>
            </w:r>
            <w:r>
              <w:rPr>
                <w:noProof/>
                <w:webHidden/>
              </w:rPr>
            </w:r>
            <w:r>
              <w:rPr>
                <w:noProof/>
                <w:webHidden/>
              </w:rPr>
              <w:fldChar w:fldCharType="separate"/>
            </w:r>
            <w:r>
              <w:rPr>
                <w:noProof/>
                <w:webHidden/>
              </w:rPr>
              <w:t>4</w:t>
            </w:r>
            <w:r>
              <w:rPr>
                <w:noProof/>
                <w:webHidden/>
              </w:rPr>
              <w:fldChar w:fldCharType="end"/>
            </w:r>
          </w:hyperlink>
        </w:p>
        <w:p w14:paraId="191A3635" w14:textId="3097D8A6"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0" w:history="1">
            <w:r w:rsidRPr="003B2E28">
              <w:rPr>
                <w:rStyle w:val="Hyperlink"/>
                <w:noProof/>
              </w:rPr>
              <w:t>2.1</w:t>
            </w:r>
            <w:r>
              <w:rPr>
                <w:rFonts w:asciiTheme="minorHAnsi" w:eastAsiaTheme="minorEastAsia" w:hAnsiTheme="minorHAnsi"/>
                <w:noProof/>
                <w:sz w:val="22"/>
                <w:lang w:eastAsia="en-GB"/>
              </w:rPr>
              <w:tab/>
            </w:r>
            <w:r w:rsidRPr="003B2E28">
              <w:rPr>
                <w:rStyle w:val="Hyperlink"/>
                <w:noProof/>
              </w:rPr>
              <w:t>Use of the Nagoya Protocol</w:t>
            </w:r>
            <w:r>
              <w:rPr>
                <w:noProof/>
                <w:webHidden/>
              </w:rPr>
              <w:tab/>
            </w:r>
            <w:r>
              <w:rPr>
                <w:noProof/>
                <w:webHidden/>
              </w:rPr>
              <w:fldChar w:fldCharType="begin"/>
            </w:r>
            <w:r>
              <w:rPr>
                <w:noProof/>
                <w:webHidden/>
              </w:rPr>
              <w:instrText xml:space="preserve"> PAGEREF _Toc48120280 \h </w:instrText>
            </w:r>
            <w:r>
              <w:rPr>
                <w:noProof/>
                <w:webHidden/>
              </w:rPr>
            </w:r>
            <w:r>
              <w:rPr>
                <w:noProof/>
                <w:webHidden/>
              </w:rPr>
              <w:fldChar w:fldCharType="separate"/>
            </w:r>
            <w:r>
              <w:rPr>
                <w:noProof/>
                <w:webHidden/>
              </w:rPr>
              <w:t>4</w:t>
            </w:r>
            <w:r>
              <w:rPr>
                <w:noProof/>
                <w:webHidden/>
              </w:rPr>
              <w:fldChar w:fldCharType="end"/>
            </w:r>
          </w:hyperlink>
        </w:p>
        <w:p w14:paraId="1D9E5D08" w14:textId="391F6F35"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1" w:history="1">
            <w:r w:rsidRPr="003B2E28">
              <w:rPr>
                <w:rStyle w:val="Hyperlink"/>
                <w:noProof/>
              </w:rPr>
              <w:t>2.2</w:t>
            </w:r>
            <w:r>
              <w:rPr>
                <w:rFonts w:asciiTheme="minorHAnsi" w:eastAsiaTheme="minorEastAsia" w:hAnsiTheme="minorHAnsi"/>
                <w:noProof/>
                <w:sz w:val="22"/>
                <w:lang w:eastAsia="en-GB"/>
              </w:rPr>
              <w:tab/>
            </w:r>
            <w:r w:rsidRPr="003B2E28">
              <w:rPr>
                <w:rStyle w:val="Hyperlink"/>
                <w:noProof/>
              </w:rPr>
              <w:t>ABS Clearinghouse</w:t>
            </w:r>
            <w:r>
              <w:rPr>
                <w:noProof/>
                <w:webHidden/>
              </w:rPr>
              <w:tab/>
            </w:r>
            <w:r>
              <w:rPr>
                <w:noProof/>
                <w:webHidden/>
              </w:rPr>
              <w:fldChar w:fldCharType="begin"/>
            </w:r>
            <w:r>
              <w:rPr>
                <w:noProof/>
                <w:webHidden/>
              </w:rPr>
              <w:instrText xml:space="preserve"> PAGEREF _Toc48120281 \h </w:instrText>
            </w:r>
            <w:r>
              <w:rPr>
                <w:noProof/>
                <w:webHidden/>
              </w:rPr>
            </w:r>
            <w:r>
              <w:rPr>
                <w:noProof/>
                <w:webHidden/>
              </w:rPr>
              <w:fldChar w:fldCharType="separate"/>
            </w:r>
            <w:r>
              <w:rPr>
                <w:noProof/>
                <w:webHidden/>
              </w:rPr>
              <w:t>4</w:t>
            </w:r>
            <w:r>
              <w:rPr>
                <w:noProof/>
                <w:webHidden/>
              </w:rPr>
              <w:fldChar w:fldCharType="end"/>
            </w:r>
          </w:hyperlink>
        </w:p>
        <w:p w14:paraId="5F63C436" w14:textId="63FA06AA"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2" w:history="1">
            <w:r w:rsidRPr="003B2E28">
              <w:rPr>
                <w:rStyle w:val="Hyperlink"/>
                <w:noProof/>
              </w:rPr>
              <w:t>2.3</w:t>
            </w:r>
            <w:r>
              <w:rPr>
                <w:rFonts w:asciiTheme="minorHAnsi" w:eastAsiaTheme="minorEastAsia" w:hAnsiTheme="minorHAnsi"/>
                <w:noProof/>
                <w:sz w:val="22"/>
                <w:lang w:eastAsia="en-GB"/>
              </w:rPr>
              <w:tab/>
            </w:r>
            <w:r w:rsidRPr="003B2E28">
              <w:rPr>
                <w:rStyle w:val="Hyperlink"/>
                <w:noProof/>
              </w:rPr>
              <w:t>Due Dilligence</w:t>
            </w:r>
            <w:r>
              <w:rPr>
                <w:noProof/>
                <w:webHidden/>
              </w:rPr>
              <w:tab/>
            </w:r>
            <w:r>
              <w:rPr>
                <w:noProof/>
                <w:webHidden/>
              </w:rPr>
              <w:fldChar w:fldCharType="begin"/>
            </w:r>
            <w:r>
              <w:rPr>
                <w:noProof/>
                <w:webHidden/>
              </w:rPr>
              <w:instrText xml:space="preserve"> PAGEREF _Toc48120282 \h </w:instrText>
            </w:r>
            <w:r>
              <w:rPr>
                <w:noProof/>
                <w:webHidden/>
              </w:rPr>
            </w:r>
            <w:r>
              <w:rPr>
                <w:noProof/>
                <w:webHidden/>
              </w:rPr>
              <w:fldChar w:fldCharType="separate"/>
            </w:r>
            <w:r>
              <w:rPr>
                <w:noProof/>
                <w:webHidden/>
              </w:rPr>
              <w:t>5</w:t>
            </w:r>
            <w:r>
              <w:rPr>
                <w:noProof/>
                <w:webHidden/>
              </w:rPr>
              <w:fldChar w:fldCharType="end"/>
            </w:r>
          </w:hyperlink>
        </w:p>
        <w:p w14:paraId="116B3053" w14:textId="617057D6" w:rsidR="00886128" w:rsidRDefault="00886128">
          <w:pPr>
            <w:pStyle w:val="TOC3"/>
            <w:tabs>
              <w:tab w:val="left" w:pos="1320"/>
              <w:tab w:val="right" w:leader="dot" w:pos="9016"/>
            </w:tabs>
            <w:rPr>
              <w:rFonts w:asciiTheme="minorHAnsi" w:eastAsiaTheme="minorEastAsia" w:hAnsiTheme="minorHAnsi"/>
              <w:noProof/>
              <w:sz w:val="22"/>
              <w:lang w:eastAsia="en-GB"/>
            </w:rPr>
          </w:pPr>
          <w:hyperlink w:anchor="_Toc48120283" w:history="1">
            <w:r w:rsidRPr="003B2E28">
              <w:rPr>
                <w:rStyle w:val="Hyperlink"/>
                <w:noProof/>
              </w:rPr>
              <w:t>2.3.1</w:t>
            </w:r>
            <w:r>
              <w:rPr>
                <w:rFonts w:asciiTheme="minorHAnsi" w:eastAsiaTheme="minorEastAsia" w:hAnsiTheme="minorHAnsi"/>
                <w:noProof/>
                <w:sz w:val="22"/>
                <w:lang w:eastAsia="en-GB"/>
              </w:rPr>
              <w:tab/>
            </w:r>
            <w:r w:rsidRPr="003B2E28">
              <w:rPr>
                <w:rStyle w:val="Hyperlink"/>
                <w:noProof/>
              </w:rPr>
              <w:t>Direct Access</w:t>
            </w:r>
            <w:r>
              <w:rPr>
                <w:noProof/>
                <w:webHidden/>
              </w:rPr>
              <w:tab/>
            </w:r>
            <w:r>
              <w:rPr>
                <w:noProof/>
                <w:webHidden/>
              </w:rPr>
              <w:fldChar w:fldCharType="begin"/>
            </w:r>
            <w:r>
              <w:rPr>
                <w:noProof/>
                <w:webHidden/>
              </w:rPr>
              <w:instrText xml:space="preserve"> PAGEREF _Toc48120283 \h </w:instrText>
            </w:r>
            <w:r>
              <w:rPr>
                <w:noProof/>
                <w:webHidden/>
              </w:rPr>
            </w:r>
            <w:r>
              <w:rPr>
                <w:noProof/>
                <w:webHidden/>
              </w:rPr>
              <w:fldChar w:fldCharType="separate"/>
            </w:r>
            <w:r>
              <w:rPr>
                <w:noProof/>
                <w:webHidden/>
              </w:rPr>
              <w:t>5</w:t>
            </w:r>
            <w:r>
              <w:rPr>
                <w:noProof/>
                <w:webHidden/>
              </w:rPr>
              <w:fldChar w:fldCharType="end"/>
            </w:r>
          </w:hyperlink>
        </w:p>
        <w:p w14:paraId="5829986C" w14:textId="62DEEBE3" w:rsidR="00886128" w:rsidRDefault="00886128">
          <w:pPr>
            <w:pStyle w:val="TOC3"/>
            <w:tabs>
              <w:tab w:val="left" w:pos="1320"/>
              <w:tab w:val="right" w:leader="dot" w:pos="9016"/>
            </w:tabs>
            <w:rPr>
              <w:rFonts w:asciiTheme="minorHAnsi" w:eastAsiaTheme="minorEastAsia" w:hAnsiTheme="minorHAnsi"/>
              <w:noProof/>
              <w:sz w:val="22"/>
              <w:lang w:eastAsia="en-GB"/>
            </w:rPr>
          </w:pPr>
          <w:hyperlink w:anchor="_Toc48120284" w:history="1">
            <w:r w:rsidRPr="003B2E28">
              <w:rPr>
                <w:rStyle w:val="Hyperlink"/>
                <w:noProof/>
              </w:rPr>
              <w:t>2.3.2</w:t>
            </w:r>
            <w:r>
              <w:rPr>
                <w:rFonts w:asciiTheme="minorHAnsi" w:eastAsiaTheme="minorEastAsia" w:hAnsiTheme="minorHAnsi"/>
                <w:noProof/>
                <w:sz w:val="22"/>
                <w:lang w:eastAsia="en-GB"/>
              </w:rPr>
              <w:tab/>
            </w:r>
            <w:r w:rsidRPr="003B2E28">
              <w:rPr>
                <w:rStyle w:val="Hyperlink"/>
                <w:noProof/>
              </w:rPr>
              <w:t>Indirect Access</w:t>
            </w:r>
            <w:r>
              <w:rPr>
                <w:noProof/>
                <w:webHidden/>
              </w:rPr>
              <w:tab/>
            </w:r>
            <w:r>
              <w:rPr>
                <w:noProof/>
                <w:webHidden/>
              </w:rPr>
              <w:fldChar w:fldCharType="begin"/>
            </w:r>
            <w:r>
              <w:rPr>
                <w:noProof/>
                <w:webHidden/>
              </w:rPr>
              <w:instrText xml:space="preserve"> PAGEREF _Toc48120284 \h </w:instrText>
            </w:r>
            <w:r>
              <w:rPr>
                <w:noProof/>
                <w:webHidden/>
              </w:rPr>
            </w:r>
            <w:r>
              <w:rPr>
                <w:noProof/>
                <w:webHidden/>
              </w:rPr>
              <w:fldChar w:fldCharType="separate"/>
            </w:r>
            <w:r>
              <w:rPr>
                <w:noProof/>
                <w:webHidden/>
              </w:rPr>
              <w:t>5</w:t>
            </w:r>
            <w:r>
              <w:rPr>
                <w:noProof/>
                <w:webHidden/>
              </w:rPr>
              <w:fldChar w:fldCharType="end"/>
            </w:r>
          </w:hyperlink>
        </w:p>
        <w:p w14:paraId="4EC950E2" w14:textId="16171BA0"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5" w:history="1">
            <w:r w:rsidRPr="003B2E28">
              <w:rPr>
                <w:rStyle w:val="Hyperlink"/>
                <w:noProof/>
              </w:rPr>
              <w:t>2.4</w:t>
            </w:r>
            <w:r>
              <w:rPr>
                <w:rFonts w:asciiTheme="minorHAnsi" w:eastAsiaTheme="minorEastAsia" w:hAnsiTheme="minorHAnsi"/>
                <w:noProof/>
                <w:sz w:val="22"/>
                <w:lang w:eastAsia="en-GB"/>
              </w:rPr>
              <w:tab/>
            </w:r>
            <w:r w:rsidRPr="003B2E28">
              <w:rPr>
                <w:rStyle w:val="Hyperlink"/>
                <w:noProof/>
              </w:rPr>
              <w:t>Due Diligence</w:t>
            </w:r>
            <w:r>
              <w:rPr>
                <w:noProof/>
                <w:webHidden/>
              </w:rPr>
              <w:tab/>
            </w:r>
            <w:r>
              <w:rPr>
                <w:noProof/>
                <w:webHidden/>
              </w:rPr>
              <w:fldChar w:fldCharType="begin"/>
            </w:r>
            <w:r>
              <w:rPr>
                <w:noProof/>
                <w:webHidden/>
              </w:rPr>
              <w:instrText xml:space="preserve"> PAGEREF _Toc48120285 \h </w:instrText>
            </w:r>
            <w:r>
              <w:rPr>
                <w:noProof/>
                <w:webHidden/>
              </w:rPr>
            </w:r>
            <w:r>
              <w:rPr>
                <w:noProof/>
                <w:webHidden/>
              </w:rPr>
              <w:fldChar w:fldCharType="separate"/>
            </w:r>
            <w:r>
              <w:rPr>
                <w:noProof/>
                <w:webHidden/>
              </w:rPr>
              <w:t>6</w:t>
            </w:r>
            <w:r>
              <w:rPr>
                <w:noProof/>
                <w:webHidden/>
              </w:rPr>
              <w:fldChar w:fldCharType="end"/>
            </w:r>
          </w:hyperlink>
        </w:p>
        <w:p w14:paraId="1C30CC4A" w14:textId="28BB453B"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6" w:history="1">
            <w:r w:rsidRPr="003B2E28">
              <w:rPr>
                <w:rStyle w:val="Hyperlink"/>
                <w:noProof/>
              </w:rPr>
              <w:t>2.5</w:t>
            </w:r>
            <w:r>
              <w:rPr>
                <w:rFonts w:asciiTheme="minorHAnsi" w:eastAsiaTheme="minorEastAsia" w:hAnsiTheme="minorHAnsi"/>
                <w:noProof/>
                <w:sz w:val="22"/>
                <w:lang w:eastAsia="en-GB"/>
              </w:rPr>
              <w:tab/>
            </w:r>
            <w:r w:rsidRPr="003B2E28">
              <w:rPr>
                <w:rStyle w:val="Hyperlink"/>
                <w:noProof/>
              </w:rPr>
              <w:t>Record Keeping</w:t>
            </w:r>
            <w:r>
              <w:rPr>
                <w:noProof/>
                <w:webHidden/>
              </w:rPr>
              <w:tab/>
            </w:r>
            <w:r>
              <w:rPr>
                <w:noProof/>
                <w:webHidden/>
              </w:rPr>
              <w:fldChar w:fldCharType="begin"/>
            </w:r>
            <w:r>
              <w:rPr>
                <w:noProof/>
                <w:webHidden/>
              </w:rPr>
              <w:instrText xml:space="preserve"> PAGEREF _Toc48120286 \h </w:instrText>
            </w:r>
            <w:r>
              <w:rPr>
                <w:noProof/>
                <w:webHidden/>
              </w:rPr>
            </w:r>
            <w:r>
              <w:rPr>
                <w:noProof/>
                <w:webHidden/>
              </w:rPr>
              <w:fldChar w:fldCharType="separate"/>
            </w:r>
            <w:r>
              <w:rPr>
                <w:noProof/>
                <w:webHidden/>
              </w:rPr>
              <w:t>6</w:t>
            </w:r>
            <w:r>
              <w:rPr>
                <w:noProof/>
                <w:webHidden/>
              </w:rPr>
              <w:fldChar w:fldCharType="end"/>
            </w:r>
          </w:hyperlink>
        </w:p>
        <w:p w14:paraId="1719F2B9" w14:textId="59C31F91"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7" w:history="1">
            <w:r w:rsidRPr="003B2E28">
              <w:rPr>
                <w:rStyle w:val="Hyperlink"/>
                <w:noProof/>
              </w:rPr>
              <w:t>2.6</w:t>
            </w:r>
            <w:r>
              <w:rPr>
                <w:rFonts w:asciiTheme="minorHAnsi" w:eastAsiaTheme="minorEastAsia" w:hAnsiTheme="minorHAnsi"/>
                <w:noProof/>
                <w:sz w:val="22"/>
                <w:lang w:eastAsia="en-GB"/>
              </w:rPr>
              <w:tab/>
            </w:r>
            <w:r w:rsidRPr="003B2E28">
              <w:rPr>
                <w:rStyle w:val="Hyperlink"/>
                <w:noProof/>
              </w:rPr>
              <w:t>Transfer</w:t>
            </w:r>
            <w:r>
              <w:rPr>
                <w:noProof/>
                <w:webHidden/>
              </w:rPr>
              <w:tab/>
            </w:r>
            <w:r>
              <w:rPr>
                <w:noProof/>
                <w:webHidden/>
              </w:rPr>
              <w:fldChar w:fldCharType="begin"/>
            </w:r>
            <w:r>
              <w:rPr>
                <w:noProof/>
                <w:webHidden/>
              </w:rPr>
              <w:instrText xml:space="preserve"> PAGEREF _Toc48120287 \h </w:instrText>
            </w:r>
            <w:r>
              <w:rPr>
                <w:noProof/>
                <w:webHidden/>
              </w:rPr>
            </w:r>
            <w:r>
              <w:rPr>
                <w:noProof/>
                <w:webHidden/>
              </w:rPr>
              <w:fldChar w:fldCharType="separate"/>
            </w:r>
            <w:r>
              <w:rPr>
                <w:noProof/>
                <w:webHidden/>
              </w:rPr>
              <w:t>6</w:t>
            </w:r>
            <w:r>
              <w:rPr>
                <w:noProof/>
                <w:webHidden/>
              </w:rPr>
              <w:fldChar w:fldCharType="end"/>
            </w:r>
          </w:hyperlink>
        </w:p>
        <w:p w14:paraId="598173C1" w14:textId="11BFE7CF"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88" w:history="1">
            <w:r w:rsidRPr="003B2E28">
              <w:rPr>
                <w:rStyle w:val="Hyperlink"/>
                <w:noProof/>
              </w:rPr>
              <w:t>2.7</w:t>
            </w:r>
            <w:r>
              <w:rPr>
                <w:rFonts w:asciiTheme="minorHAnsi" w:eastAsiaTheme="minorEastAsia" w:hAnsiTheme="minorHAnsi"/>
                <w:noProof/>
                <w:sz w:val="22"/>
                <w:lang w:eastAsia="en-GB"/>
              </w:rPr>
              <w:tab/>
            </w:r>
            <w:r w:rsidRPr="003B2E28">
              <w:rPr>
                <w:rStyle w:val="Hyperlink"/>
                <w:noProof/>
              </w:rPr>
              <w:t xml:space="preserve"> Outside the scope of the Nagoya Protocol</w:t>
            </w:r>
            <w:r>
              <w:rPr>
                <w:noProof/>
                <w:webHidden/>
              </w:rPr>
              <w:tab/>
            </w:r>
            <w:r>
              <w:rPr>
                <w:noProof/>
                <w:webHidden/>
              </w:rPr>
              <w:fldChar w:fldCharType="begin"/>
            </w:r>
            <w:r>
              <w:rPr>
                <w:noProof/>
                <w:webHidden/>
              </w:rPr>
              <w:instrText xml:space="preserve"> PAGEREF _Toc48120288 \h </w:instrText>
            </w:r>
            <w:r>
              <w:rPr>
                <w:noProof/>
                <w:webHidden/>
              </w:rPr>
            </w:r>
            <w:r>
              <w:rPr>
                <w:noProof/>
                <w:webHidden/>
              </w:rPr>
              <w:fldChar w:fldCharType="separate"/>
            </w:r>
            <w:r>
              <w:rPr>
                <w:noProof/>
                <w:webHidden/>
              </w:rPr>
              <w:t>6</w:t>
            </w:r>
            <w:r>
              <w:rPr>
                <w:noProof/>
                <w:webHidden/>
              </w:rPr>
              <w:fldChar w:fldCharType="end"/>
            </w:r>
          </w:hyperlink>
        </w:p>
        <w:p w14:paraId="56429711" w14:textId="23AD5A59" w:rsidR="00886128" w:rsidRDefault="00886128">
          <w:pPr>
            <w:pStyle w:val="TOC2"/>
            <w:tabs>
              <w:tab w:val="left" w:pos="660"/>
              <w:tab w:val="right" w:leader="dot" w:pos="9016"/>
            </w:tabs>
            <w:rPr>
              <w:rFonts w:asciiTheme="minorHAnsi" w:eastAsiaTheme="minorEastAsia" w:hAnsiTheme="minorHAnsi"/>
              <w:noProof/>
              <w:sz w:val="22"/>
              <w:lang w:eastAsia="en-GB"/>
            </w:rPr>
          </w:pPr>
          <w:hyperlink w:anchor="_Toc48120289" w:history="1">
            <w:r w:rsidRPr="003B2E28">
              <w:rPr>
                <w:rStyle w:val="Hyperlink"/>
                <w:noProof/>
              </w:rPr>
              <w:t>3</w:t>
            </w:r>
            <w:r>
              <w:rPr>
                <w:rFonts w:asciiTheme="minorHAnsi" w:eastAsiaTheme="minorEastAsia" w:hAnsiTheme="minorHAnsi"/>
                <w:noProof/>
                <w:sz w:val="22"/>
                <w:lang w:eastAsia="en-GB"/>
              </w:rPr>
              <w:tab/>
            </w:r>
            <w:r w:rsidRPr="003B2E28">
              <w:rPr>
                <w:rStyle w:val="Hyperlink"/>
                <w:noProof/>
              </w:rPr>
              <w:t>Submitting a Due Diligence Declaration</w:t>
            </w:r>
            <w:r>
              <w:rPr>
                <w:noProof/>
                <w:webHidden/>
              </w:rPr>
              <w:tab/>
            </w:r>
            <w:r>
              <w:rPr>
                <w:noProof/>
                <w:webHidden/>
              </w:rPr>
              <w:fldChar w:fldCharType="begin"/>
            </w:r>
            <w:r>
              <w:rPr>
                <w:noProof/>
                <w:webHidden/>
              </w:rPr>
              <w:instrText xml:space="preserve"> PAGEREF _Toc48120289 \h </w:instrText>
            </w:r>
            <w:r>
              <w:rPr>
                <w:noProof/>
                <w:webHidden/>
              </w:rPr>
            </w:r>
            <w:r>
              <w:rPr>
                <w:noProof/>
                <w:webHidden/>
              </w:rPr>
              <w:fldChar w:fldCharType="separate"/>
            </w:r>
            <w:r>
              <w:rPr>
                <w:noProof/>
                <w:webHidden/>
              </w:rPr>
              <w:t>6</w:t>
            </w:r>
            <w:r>
              <w:rPr>
                <w:noProof/>
                <w:webHidden/>
              </w:rPr>
              <w:fldChar w:fldCharType="end"/>
            </w:r>
          </w:hyperlink>
        </w:p>
        <w:p w14:paraId="53AA4CDA" w14:textId="3CCEF035"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90" w:history="1">
            <w:r w:rsidRPr="003B2E28">
              <w:rPr>
                <w:rStyle w:val="Hyperlink"/>
                <w:noProof/>
              </w:rPr>
              <w:t>3.1</w:t>
            </w:r>
            <w:r>
              <w:rPr>
                <w:rFonts w:asciiTheme="minorHAnsi" w:eastAsiaTheme="minorEastAsia" w:hAnsiTheme="minorHAnsi"/>
                <w:noProof/>
                <w:sz w:val="22"/>
                <w:lang w:eastAsia="en-GB"/>
              </w:rPr>
              <w:tab/>
            </w:r>
            <w:r w:rsidRPr="003B2E28">
              <w:rPr>
                <w:rStyle w:val="Hyperlink"/>
                <w:noProof/>
              </w:rPr>
              <w:t>Declaration Triggers</w:t>
            </w:r>
            <w:r>
              <w:rPr>
                <w:noProof/>
                <w:webHidden/>
              </w:rPr>
              <w:tab/>
            </w:r>
            <w:r>
              <w:rPr>
                <w:noProof/>
                <w:webHidden/>
              </w:rPr>
              <w:fldChar w:fldCharType="begin"/>
            </w:r>
            <w:r>
              <w:rPr>
                <w:noProof/>
                <w:webHidden/>
              </w:rPr>
              <w:instrText xml:space="preserve"> PAGEREF _Toc48120290 \h </w:instrText>
            </w:r>
            <w:r>
              <w:rPr>
                <w:noProof/>
                <w:webHidden/>
              </w:rPr>
            </w:r>
            <w:r>
              <w:rPr>
                <w:noProof/>
                <w:webHidden/>
              </w:rPr>
              <w:fldChar w:fldCharType="separate"/>
            </w:r>
            <w:r>
              <w:rPr>
                <w:noProof/>
                <w:webHidden/>
              </w:rPr>
              <w:t>6</w:t>
            </w:r>
            <w:r>
              <w:rPr>
                <w:noProof/>
                <w:webHidden/>
              </w:rPr>
              <w:fldChar w:fldCharType="end"/>
            </w:r>
          </w:hyperlink>
        </w:p>
        <w:p w14:paraId="475333B1" w14:textId="5CDE119C" w:rsidR="00886128" w:rsidRDefault="00886128">
          <w:pPr>
            <w:pStyle w:val="TOC3"/>
            <w:tabs>
              <w:tab w:val="left" w:pos="1320"/>
              <w:tab w:val="right" w:leader="dot" w:pos="9016"/>
            </w:tabs>
            <w:rPr>
              <w:rFonts w:asciiTheme="minorHAnsi" w:eastAsiaTheme="minorEastAsia" w:hAnsiTheme="minorHAnsi"/>
              <w:noProof/>
              <w:sz w:val="22"/>
              <w:lang w:eastAsia="en-GB"/>
            </w:rPr>
          </w:pPr>
          <w:hyperlink w:anchor="_Toc48120291" w:history="1">
            <w:r w:rsidRPr="003B2E28">
              <w:rPr>
                <w:rStyle w:val="Hyperlink"/>
                <w:noProof/>
              </w:rPr>
              <w:t>3.1.1</w:t>
            </w:r>
            <w:r>
              <w:rPr>
                <w:rFonts w:asciiTheme="minorHAnsi" w:eastAsiaTheme="minorEastAsia" w:hAnsiTheme="minorHAnsi"/>
                <w:noProof/>
                <w:sz w:val="22"/>
                <w:lang w:eastAsia="en-GB"/>
              </w:rPr>
              <w:tab/>
            </w:r>
            <w:r w:rsidRPr="003B2E28">
              <w:rPr>
                <w:rStyle w:val="Hyperlink"/>
                <w:noProof/>
              </w:rPr>
              <w:t>Research Grant</w:t>
            </w:r>
            <w:r>
              <w:rPr>
                <w:noProof/>
                <w:webHidden/>
              </w:rPr>
              <w:tab/>
            </w:r>
            <w:r>
              <w:rPr>
                <w:noProof/>
                <w:webHidden/>
              </w:rPr>
              <w:fldChar w:fldCharType="begin"/>
            </w:r>
            <w:r>
              <w:rPr>
                <w:noProof/>
                <w:webHidden/>
              </w:rPr>
              <w:instrText xml:space="preserve"> PAGEREF _Toc48120291 \h </w:instrText>
            </w:r>
            <w:r>
              <w:rPr>
                <w:noProof/>
                <w:webHidden/>
              </w:rPr>
            </w:r>
            <w:r>
              <w:rPr>
                <w:noProof/>
                <w:webHidden/>
              </w:rPr>
              <w:fldChar w:fldCharType="separate"/>
            </w:r>
            <w:r>
              <w:rPr>
                <w:noProof/>
                <w:webHidden/>
              </w:rPr>
              <w:t>7</w:t>
            </w:r>
            <w:r>
              <w:rPr>
                <w:noProof/>
                <w:webHidden/>
              </w:rPr>
              <w:fldChar w:fldCharType="end"/>
            </w:r>
          </w:hyperlink>
        </w:p>
        <w:p w14:paraId="5DF2E7BD" w14:textId="4546CBEE" w:rsidR="00886128" w:rsidRDefault="00886128">
          <w:pPr>
            <w:pStyle w:val="TOC3"/>
            <w:tabs>
              <w:tab w:val="left" w:pos="1320"/>
              <w:tab w:val="right" w:leader="dot" w:pos="9016"/>
            </w:tabs>
            <w:rPr>
              <w:rFonts w:asciiTheme="minorHAnsi" w:eastAsiaTheme="minorEastAsia" w:hAnsiTheme="minorHAnsi"/>
              <w:noProof/>
              <w:sz w:val="22"/>
              <w:lang w:eastAsia="en-GB"/>
            </w:rPr>
          </w:pPr>
          <w:hyperlink w:anchor="_Toc48120292" w:history="1">
            <w:r w:rsidRPr="003B2E28">
              <w:rPr>
                <w:rStyle w:val="Hyperlink"/>
                <w:noProof/>
              </w:rPr>
              <w:t>3.1.2</w:t>
            </w:r>
            <w:r>
              <w:rPr>
                <w:rFonts w:asciiTheme="minorHAnsi" w:eastAsiaTheme="minorEastAsia" w:hAnsiTheme="minorHAnsi"/>
                <w:noProof/>
                <w:sz w:val="22"/>
                <w:lang w:eastAsia="en-GB"/>
              </w:rPr>
              <w:tab/>
            </w:r>
            <w:r w:rsidRPr="003B2E28">
              <w:rPr>
                <w:rStyle w:val="Hyperlink"/>
                <w:noProof/>
              </w:rPr>
              <w:t>Product Development</w:t>
            </w:r>
            <w:r>
              <w:rPr>
                <w:noProof/>
                <w:webHidden/>
              </w:rPr>
              <w:tab/>
            </w:r>
            <w:r>
              <w:rPr>
                <w:noProof/>
                <w:webHidden/>
              </w:rPr>
              <w:fldChar w:fldCharType="begin"/>
            </w:r>
            <w:r>
              <w:rPr>
                <w:noProof/>
                <w:webHidden/>
              </w:rPr>
              <w:instrText xml:space="preserve"> PAGEREF _Toc48120292 \h </w:instrText>
            </w:r>
            <w:r>
              <w:rPr>
                <w:noProof/>
                <w:webHidden/>
              </w:rPr>
            </w:r>
            <w:r>
              <w:rPr>
                <w:noProof/>
                <w:webHidden/>
              </w:rPr>
              <w:fldChar w:fldCharType="separate"/>
            </w:r>
            <w:r>
              <w:rPr>
                <w:noProof/>
                <w:webHidden/>
              </w:rPr>
              <w:t>7</w:t>
            </w:r>
            <w:r>
              <w:rPr>
                <w:noProof/>
                <w:webHidden/>
              </w:rPr>
              <w:fldChar w:fldCharType="end"/>
            </w:r>
          </w:hyperlink>
        </w:p>
        <w:p w14:paraId="4AB120B7" w14:textId="7C3BDD97"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93" w:history="1">
            <w:r w:rsidRPr="003B2E28">
              <w:rPr>
                <w:rStyle w:val="Hyperlink"/>
                <w:noProof/>
              </w:rPr>
              <w:t>3.2</w:t>
            </w:r>
            <w:r>
              <w:rPr>
                <w:rFonts w:asciiTheme="minorHAnsi" w:eastAsiaTheme="minorEastAsia" w:hAnsiTheme="minorHAnsi"/>
                <w:noProof/>
                <w:sz w:val="22"/>
                <w:lang w:eastAsia="en-GB"/>
              </w:rPr>
              <w:tab/>
            </w:r>
            <w:r w:rsidRPr="003B2E28">
              <w:rPr>
                <w:rStyle w:val="Hyperlink"/>
                <w:noProof/>
              </w:rPr>
              <w:t>On reaching either checkpoint</w:t>
            </w:r>
            <w:r>
              <w:rPr>
                <w:noProof/>
                <w:webHidden/>
              </w:rPr>
              <w:tab/>
            </w:r>
            <w:r>
              <w:rPr>
                <w:noProof/>
                <w:webHidden/>
              </w:rPr>
              <w:fldChar w:fldCharType="begin"/>
            </w:r>
            <w:r>
              <w:rPr>
                <w:noProof/>
                <w:webHidden/>
              </w:rPr>
              <w:instrText xml:space="preserve"> PAGEREF _Toc48120293 \h </w:instrText>
            </w:r>
            <w:r>
              <w:rPr>
                <w:noProof/>
                <w:webHidden/>
              </w:rPr>
            </w:r>
            <w:r>
              <w:rPr>
                <w:noProof/>
                <w:webHidden/>
              </w:rPr>
              <w:fldChar w:fldCharType="separate"/>
            </w:r>
            <w:r>
              <w:rPr>
                <w:noProof/>
                <w:webHidden/>
              </w:rPr>
              <w:t>7</w:t>
            </w:r>
            <w:r>
              <w:rPr>
                <w:noProof/>
                <w:webHidden/>
              </w:rPr>
              <w:fldChar w:fldCharType="end"/>
            </w:r>
          </w:hyperlink>
        </w:p>
        <w:p w14:paraId="0840EB45" w14:textId="40881378" w:rsidR="00886128" w:rsidRDefault="00886128">
          <w:pPr>
            <w:pStyle w:val="TOC2"/>
            <w:tabs>
              <w:tab w:val="left" w:pos="880"/>
              <w:tab w:val="right" w:leader="dot" w:pos="9016"/>
            </w:tabs>
            <w:rPr>
              <w:rFonts w:asciiTheme="minorHAnsi" w:eastAsiaTheme="minorEastAsia" w:hAnsiTheme="minorHAnsi"/>
              <w:noProof/>
              <w:sz w:val="22"/>
              <w:lang w:eastAsia="en-GB"/>
            </w:rPr>
          </w:pPr>
          <w:hyperlink w:anchor="_Toc48120294" w:history="1">
            <w:r w:rsidRPr="003B2E28">
              <w:rPr>
                <w:rStyle w:val="Hyperlink"/>
                <w:noProof/>
              </w:rPr>
              <w:t>4.</w:t>
            </w:r>
            <w:r>
              <w:rPr>
                <w:rFonts w:asciiTheme="minorHAnsi" w:eastAsiaTheme="minorEastAsia" w:hAnsiTheme="minorHAnsi"/>
                <w:noProof/>
                <w:sz w:val="22"/>
                <w:lang w:eastAsia="en-GB"/>
              </w:rPr>
              <w:tab/>
            </w:r>
            <w:r w:rsidRPr="003B2E28">
              <w:rPr>
                <w:rStyle w:val="Hyperlink"/>
                <w:noProof/>
              </w:rPr>
              <w:t>Record Keeping &amp; Transfer</w:t>
            </w:r>
            <w:r>
              <w:rPr>
                <w:noProof/>
                <w:webHidden/>
              </w:rPr>
              <w:tab/>
            </w:r>
            <w:r>
              <w:rPr>
                <w:noProof/>
                <w:webHidden/>
              </w:rPr>
              <w:fldChar w:fldCharType="begin"/>
            </w:r>
            <w:r>
              <w:rPr>
                <w:noProof/>
                <w:webHidden/>
              </w:rPr>
              <w:instrText xml:space="preserve"> PAGEREF _Toc48120294 \h </w:instrText>
            </w:r>
            <w:r>
              <w:rPr>
                <w:noProof/>
                <w:webHidden/>
              </w:rPr>
            </w:r>
            <w:r>
              <w:rPr>
                <w:noProof/>
                <w:webHidden/>
              </w:rPr>
              <w:fldChar w:fldCharType="separate"/>
            </w:r>
            <w:r>
              <w:rPr>
                <w:noProof/>
                <w:webHidden/>
              </w:rPr>
              <w:t>7</w:t>
            </w:r>
            <w:r>
              <w:rPr>
                <w:noProof/>
                <w:webHidden/>
              </w:rPr>
              <w:fldChar w:fldCharType="end"/>
            </w:r>
          </w:hyperlink>
        </w:p>
        <w:p w14:paraId="3D8E60ED" w14:textId="1E41DF44" w:rsidR="00886128" w:rsidRDefault="00886128">
          <w:pPr>
            <w:pStyle w:val="TOC3"/>
            <w:tabs>
              <w:tab w:val="left" w:pos="1100"/>
              <w:tab w:val="right" w:leader="dot" w:pos="9016"/>
            </w:tabs>
            <w:rPr>
              <w:rFonts w:asciiTheme="minorHAnsi" w:eastAsiaTheme="minorEastAsia" w:hAnsiTheme="minorHAnsi"/>
              <w:noProof/>
              <w:sz w:val="22"/>
              <w:lang w:eastAsia="en-GB"/>
            </w:rPr>
          </w:pPr>
          <w:hyperlink w:anchor="_Toc48120295" w:history="1">
            <w:r w:rsidRPr="003B2E28">
              <w:rPr>
                <w:rStyle w:val="Hyperlink"/>
                <w:noProof/>
              </w:rPr>
              <w:t>4.1</w:t>
            </w:r>
            <w:r>
              <w:rPr>
                <w:rFonts w:asciiTheme="minorHAnsi" w:eastAsiaTheme="minorEastAsia" w:hAnsiTheme="minorHAnsi"/>
                <w:noProof/>
                <w:sz w:val="22"/>
                <w:lang w:eastAsia="en-GB"/>
              </w:rPr>
              <w:tab/>
            </w:r>
            <w:r w:rsidRPr="003B2E28">
              <w:rPr>
                <w:rStyle w:val="Hyperlink"/>
                <w:noProof/>
              </w:rPr>
              <w:t>Required Records</w:t>
            </w:r>
            <w:r>
              <w:rPr>
                <w:noProof/>
                <w:webHidden/>
              </w:rPr>
              <w:tab/>
            </w:r>
            <w:r>
              <w:rPr>
                <w:noProof/>
                <w:webHidden/>
              </w:rPr>
              <w:fldChar w:fldCharType="begin"/>
            </w:r>
            <w:r>
              <w:rPr>
                <w:noProof/>
                <w:webHidden/>
              </w:rPr>
              <w:instrText xml:space="preserve"> PAGEREF _Toc48120295 \h </w:instrText>
            </w:r>
            <w:r>
              <w:rPr>
                <w:noProof/>
                <w:webHidden/>
              </w:rPr>
            </w:r>
            <w:r>
              <w:rPr>
                <w:noProof/>
                <w:webHidden/>
              </w:rPr>
              <w:fldChar w:fldCharType="separate"/>
            </w:r>
            <w:r>
              <w:rPr>
                <w:noProof/>
                <w:webHidden/>
              </w:rPr>
              <w:t>7</w:t>
            </w:r>
            <w:r>
              <w:rPr>
                <w:noProof/>
                <w:webHidden/>
              </w:rPr>
              <w:fldChar w:fldCharType="end"/>
            </w:r>
          </w:hyperlink>
        </w:p>
        <w:p w14:paraId="1A293A0B" w14:textId="41E0D28C" w:rsidR="00886128" w:rsidRDefault="00886128">
          <w:pPr>
            <w:pStyle w:val="TOC1"/>
            <w:tabs>
              <w:tab w:val="right" w:leader="dot" w:pos="9016"/>
            </w:tabs>
            <w:rPr>
              <w:rFonts w:asciiTheme="minorHAnsi" w:eastAsiaTheme="minorEastAsia" w:hAnsiTheme="minorHAnsi"/>
              <w:noProof/>
              <w:sz w:val="22"/>
              <w:lang w:eastAsia="en-GB"/>
            </w:rPr>
          </w:pPr>
          <w:hyperlink w:anchor="_Toc48120296" w:history="1">
            <w:r w:rsidRPr="003B2E28">
              <w:rPr>
                <w:rStyle w:val="Hyperlink"/>
                <w:noProof/>
              </w:rPr>
              <w:t>Endmatter</w:t>
            </w:r>
            <w:r>
              <w:rPr>
                <w:noProof/>
                <w:webHidden/>
              </w:rPr>
              <w:tab/>
            </w:r>
            <w:r>
              <w:rPr>
                <w:noProof/>
                <w:webHidden/>
              </w:rPr>
              <w:fldChar w:fldCharType="begin"/>
            </w:r>
            <w:r>
              <w:rPr>
                <w:noProof/>
                <w:webHidden/>
              </w:rPr>
              <w:instrText xml:space="preserve"> PAGEREF _Toc48120296 \h </w:instrText>
            </w:r>
            <w:r>
              <w:rPr>
                <w:noProof/>
                <w:webHidden/>
              </w:rPr>
            </w:r>
            <w:r>
              <w:rPr>
                <w:noProof/>
                <w:webHidden/>
              </w:rPr>
              <w:fldChar w:fldCharType="separate"/>
            </w:r>
            <w:r>
              <w:rPr>
                <w:noProof/>
                <w:webHidden/>
              </w:rPr>
              <w:t>8</w:t>
            </w:r>
            <w:r>
              <w:rPr>
                <w:noProof/>
                <w:webHidden/>
              </w:rPr>
              <w:fldChar w:fldCharType="end"/>
            </w:r>
          </w:hyperlink>
        </w:p>
        <w:p w14:paraId="7A355DE3" w14:textId="3AA47896" w:rsidR="00351BCA" w:rsidRDefault="00351BCA">
          <w:r>
            <w:rPr>
              <w:b/>
              <w:bCs/>
              <w:noProof/>
            </w:rPr>
            <w:fldChar w:fldCharType="end"/>
          </w:r>
        </w:p>
      </w:sdtContent>
    </w:sdt>
    <w:p w14:paraId="6C5FC6D9" w14:textId="77777777" w:rsidR="00C625B0" w:rsidRDefault="00C625B0">
      <w:r>
        <w:br w:type="page"/>
      </w:r>
    </w:p>
    <w:p w14:paraId="315C5690" w14:textId="77777777" w:rsidR="000D23AF" w:rsidRPr="00D84C7A" w:rsidRDefault="000D23AF" w:rsidP="00D84C7A">
      <w:pPr>
        <w:pStyle w:val="Heading1"/>
      </w:pPr>
      <w:bookmarkStart w:id="1" w:name="_Toc48120274"/>
      <w:r w:rsidRPr="00D84C7A">
        <w:lastRenderedPageBreak/>
        <w:t>Summary</w:t>
      </w:r>
      <w:bookmarkEnd w:id="1"/>
      <w:r w:rsidRPr="00D84C7A">
        <w:t xml:space="preserve"> </w:t>
      </w:r>
    </w:p>
    <w:p w14:paraId="4C44DF9D" w14:textId="5FE6CD78" w:rsidR="00F7089B" w:rsidRDefault="00CC6683" w:rsidP="00DE73C8">
      <w:r w:rsidRPr="00DE73C8">
        <w:t xml:space="preserve">This </w:t>
      </w:r>
      <w:r w:rsidR="0059690C" w:rsidRPr="00DE73C8">
        <w:t xml:space="preserve">guide on the Nagoya Protocol and it’s applicability to researchers </w:t>
      </w:r>
      <w:r w:rsidRPr="00DE73C8">
        <w:t xml:space="preserve">outlines the procedure that must be followed </w:t>
      </w:r>
      <w:r w:rsidR="00DE73C8" w:rsidRPr="00DE73C8">
        <w:t xml:space="preserve">in determining whether the Protocol applies </w:t>
      </w:r>
      <w:r w:rsidR="00DE73C8">
        <w:t>to the Researcher’s project</w:t>
      </w:r>
      <w:r w:rsidR="00A93379">
        <w:t>,</w:t>
      </w:r>
      <w:r w:rsidR="00DE73C8">
        <w:t xml:space="preserve"> </w:t>
      </w:r>
      <w:r w:rsidR="00DE73C8" w:rsidRPr="00DE73C8">
        <w:t xml:space="preserve">and subsequent procedures </w:t>
      </w:r>
      <w:r w:rsidR="00DE73C8">
        <w:t xml:space="preserve">that must be followed </w:t>
      </w:r>
      <w:r w:rsidR="00DE73C8" w:rsidRPr="00DE73C8">
        <w:t>to ensure compliance with the Nagoya Protocol.</w:t>
      </w:r>
      <w:r w:rsidR="00433B62" w:rsidRPr="00DE73C8">
        <w:t xml:space="preserve"> </w:t>
      </w:r>
    </w:p>
    <w:p w14:paraId="09437809" w14:textId="20F8C630" w:rsidR="008467B5" w:rsidRDefault="008467B5">
      <w:r>
        <w:t>If there ar</w:t>
      </w:r>
      <w:r w:rsidR="00A000BC">
        <w:t>e any queries</w:t>
      </w:r>
      <w:r w:rsidR="00F320D7">
        <w:t>,</w:t>
      </w:r>
      <w:r w:rsidR="00A000BC">
        <w:t xml:space="preserve"> </w:t>
      </w:r>
      <w:r>
        <w:t xml:space="preserve">please contact the Research Office (RO) at </w:t>
      </w:r>
      <w:hyperlink r:id="rId8" w:history="1">
        <w:r w:rsidRPr="00B52D8B">
          <w:rPr>
            <w:rStyle w:val="Hyperlink"/>
          </w:rPr>
          <w:t>Research@edgehill.ac.uk</w:t>
        </w:r>
      </w:hyperlink>
      <w:r>
        <w:t xml:space="preserve"> for assistance. </w:t>
      </w:r>
    </w:p>
    <w:p w14:paraId="7C609741" w14:textId="77777777" w:rsidR="00D84C7A" w:rsidRDefault="00D84C7A" w:rsidP="00A73C4D">
      <w:pPr>
        <w:pStyle w:val="Heading1"/>
      </w:pPr>
      <w:bookmarkStart w:id="2" w:name="_Toc48120275"/>
      <w:r>
        <w:t>Glossary of Terms</w:t>
      </w:r>
      <w:bookmarkEnd w:id="2"/>
      <w:r>
        <w:t xml:space="preserve"> </w:t>
      </w:r>
    </w:p>
    <w:p w14:paraId="06CFA1C0" w14:textId="77777777" w:rsidR="00AA6CAA" w:rsidRPr="00AA6CAA" w:rsidRDefault="00AA6CAA" w:rsidP="00AA6CAA">
      <w:pPr>
        <w:jc w:val="both"/>
        <w:rPr>
          <w:rFonts w:cs="Arial"/>
        </w:rPr>
      </w:pPr>
      <w:r w:rsidRPr="00AA6CAA">
        <w:rPr>
          <w:rFonts w:cs="Arial"/>
          <w:b/>
          <w:szCs w:val="24"/>
        </w:rPr>
        <w:t xml:space="preserve">Genetic resources (GR): </w:t>
      </w:r>
      <w:r w:rsidRPr="00AA6CAA">
        <w:rPr>
          <w:rFonts w:cs="Arial"/>
          <w:szCs w:val="24"/>
        </w:rPr>
        <w:t>any material of plant, animal, microbial or other origin containing functional units of heredity, which is of actual or potential value, or derivatives.</w:t>
      </w:r>
      <w:r w:rsidRPr="00AA6CAA">
        <w:rPr>
          <w:rFonts w:cs="Arial"/>
          <w:b/>
          <w:szCs w:val="24"/>
        </w:rPr>
        <w:t xml:space="preserve"> </w:t>
      </w:r>
      <w:r w:rsidRPr="00AA6CAA">
        <w:rPr>
          <w:rFonts w:cs="Arial"/>
        </w:rPr>
        <w:t>GR can also include any relevant traditional knowledge associated (</w:t>
      </w:r>
      <w:proofErr w:type="spellStart"/>
      <w:r w:rsidRPr="00AA6CAA">
        <w:rPr>
          <w:rFonts w:cs="Arial"/>
        </w:rPr>
        <w:t>aTK</w:t>
      </w:r>
      <w:proofErr w:type="spellEnd"/>
      <w:r w:rsidRPr="00AA6CAA">
        <w:rPr>
          <w:rFonts w:cs="Arial"/>
        </w:rPr>
        <w:t xml:space="preserve">) with their use. </w:t>
      </w:r>
      <w:proofErr w:type="spellStart"/>
      <w:r w:rsidRPr="00AA6CAA">
        <w:rPr>
          <w:rFonts w:cs="Arial"/>
        </w:rPr>
        <w:t>aTK</w:t>
      </w:r>
      <w:proofErr w:type="spellEnd"/>
      <w:r w:rsidRPr="00AA6CAA">
        <w:rPr>
          <w:rFonts w:cs="Arial"/>
        </w:rPr>
        <w:t xml:space="preserve"> is traditional knowledge held by an indigenous/local community that is relevant for the utilisation of GR.</w:t>
      </w:r>
    </w:p>
    <w:p w14:paraId="667CF09B" w14:textId="173A678C" w:rsidR="00AA6CAA" w:rsidRPr="00AA6CAA" w:rsidRDefault="00AA6CAA" w:rsidP="00AA6CAA">
      <w:pPr>
        <w:jc w:val="both"/>
        <w:rPr>
          <w:rFonts w:cs="Arial"/>
          <w:szCs w:val="24"/>
        </w:rPr>
      </w:pPr>
      <w:r w:rsidRPr="00AA6CAA">
        <w:rPr>
          <w:rFonts w:cs="Arial"/>
          <w:b/>
          <w:szCs w:val="24"/>
        </w:rPr>
        <w:t xml:space="preserve">Internationally recognised certificate of compliance (IRCC): </w:t>
      </w:r>
      <w:r w:rsidRPr="00AA6CAA">
        <w:rPr>
          <w:rFonts w:cs="Arial"/>
          <w:szCs w:val="24"/>
        </w:rPr>
        <w:t xml:space="preserve">a domestic access permit that has been made available to the Protocol’s Clearinghouse. All parties with users in their jurisdiction must recognise such certificates as evidence of acquisition in accordance with the applicable rule of the GR covered. </w:t>
      </w:r>
    </w:p>
    <w:p w14:paraId="62274A71" w14:textId="77777777" w:rsidR="00AA6CAA" w:rsidRPr="00AA6CAA" w:rsidRDefault="00AA6CAA" w:rsidP="00AA6CAA">
      <w:pPr>
        <w:jc w:val="both"/>
        <w:rPr>
          <w:rFonts w:cs="Arial"/>
          <w:szCs w:val="24"/>
        </w:rPr>
      </w:pPr>
      <w:r w:rsidRPr="00AA6CAA">
        <w:rPr>
          <w:rFonts w:cs="Arial"/>
          <w:b/>
          <w:szCs w:val="24"/>
        </w:rPr>
        <w:t xml:space="preserve">Mutually agreed terms (MAT): </w:t>
      </w:r>
      <w:r w:rsidRPr="00AA6CAA">
        <w:rPr>
          <w:rFonts w:cs="Arial"/>
          <w:szCs w:val="24"/>
        </w:rPr>
        <w:t xml:space="preserve">a legal agreement between two private parties; defining the conditions governing the use of GR and benefit-sharing. The mechanism usually used is a Material Transfer Agreement (MTA). </w:t>
      </w:r>
    </w:p>
    <w:p w14:paraId="185FAC9E" w14:textId="77777777" w:rsidR="00AA6CAA" w:rsidRPr="00AA6CAA" w:rsidRDefault="00AA6CAA" w:rsidP="00AA6CAA">
      <w:pPr>
        <w:jc w:val="both"/>
        <w:rPr>
          <w:rFonts w:cs="Arial"/>
          <w:szCs w:val="24"/>
        </w:rPr>
      </w:pPr>
      <w:r w:rsidRPr="00AA6CAA">
        <w:rPr>
          <w:rFonts w:cs="Arial"/>
          <w:b/>
          <w:szCs w:val="24"/>
        </w:rPr>
        <w:t xml:space="preserve">Prior Informed Consent (PIC): </w:t>
      </w:r>
      <w:r w:rsidRPr="00AA6CAA">
        <w:rPr>
          <w:rFonts w:cs="Arial"/>
          <w:szCs w:val="24"/>
        </w:rPr>
        <w:t xml:space="preserve">approval by the authorities of the providing country of access to and utilisation of GR. </w:t>
      </w:r>
    </w:p>
    <w:p w14:paraId="296DDB87" w14:textId="77777777" w:rsidR="00AA6CAA" w:rsidRPr="00AA6CAA" w:rsidRDefault="00AA6CAA" w:rsidP="00AA6CAA">
      <w:pPr>
        <w:jc w:val="both"/>
        <w:rPr>
          <w:rFonts w:cs="Arial"/>
          <w:szCs w:val="24"/>
        </w:rPr>
      </w:pPr>
      <w:r w:rsidRPr="00AA6CAA">
        <w:rPr>
          <w:rFonts w:cs="Arial"/>
          <w:b/>
          <w:szCs w:val="24"/>
        </w:rPr>
        <w:t xml:space="preserve">Utilisation of GR: </w:t>
      </w:r>
      <w:r w:rsidRPr="00AA6CAA">
        <w:rPr>
          <w:rFonts w:cs="Arial"/>
          <w:szCs w:val="24"/>
        </w:rPr>
        <w:t xml:space="preserve">to conduct research and development (R&amp;D) on the genetic and/or biochemical composition of GR, including through application of biotechnology. </w:t>
      </w:r>
    </w:p>
    <w:p w14:paraId="20979C57" w14:textId="77777777" w:rsidR="006A5B50" w:rsidRPr="006A5B50" w:rsidRDefault="006A5B50" w:rsidP="006A5B50"/>
    <w:p w14:paraId="735575AB" w14:textId="77777777" w:rsidR="00B86B25" w:rsidRDefault="00B86B25" w:rsidP="00D84C7A">
      <w:pPr>
        <w:pStyle w:val="Heading1"/>
      </w:pPr>
      <w:bookmarkStart w:id="3" w:name="_Toc48120276"/>
      <w:r w:rsidRPr="00D84C7A">
        <w:t>Purpose</w:t>
      </w:r>
      <w:bookmarkEnd w:id="3"/>
      <w:r w:rsidRPr="00D84C7A">
        <w:t xml:space="preserve"> </w:t>
      </w:r>
    </w:p>
    <w:p w14:paraId="30900693" w14:textId="732A0EFC" w:rsidR="00CC6683" w:rsidRPr="000111BC" w:rsidRDefault="00CC6683" w:rsidP="00B72EE1">
      <w:r w:rsidRPr="000111BC">
        <w:t xml:space="preserve">The University recognises its responsibility to researchers and the wider community to ensure the highest standards of </w:t>
      </w:r>
      <w:r w:rsidR="003D7C7F" w:rsidRPr="000111BC">
        <w:t xml:space="preserve">research governance and </w:t>
      </w:r>
      <w:r w:rsidRPr="000111BC">
        <w:t xml:space="preserve">integrity are observed </w:t>
      </w:r>
      <w:r w:rsidR="00805BA4" w:rsidRPr="000111BC">
        <w:t>with</w:t>
      </w:r>
      <w:r w:rsidRPr="000111BC">
        <w:t xml:space="preserve">in the conduct of </w:t>
      </w:r>
      <w:r w:rsidR="003D7C7F" w:rsidRPr="000111BC">
        <w:t xml:space="preserve">all </w:t>
      </w:r>
      <w:r w:rsidRPr="000111BC">
        <w:t xml:space="preserve">research. </w:t>
      </w:r>
    </w:p>
    <w:p w14:paraId="20590D25" w14:textId="40DDE206" w:rsidR="0054561B" w:rsidRPr="000111BC" w:rsidRDefault="0054561B" w:rsidP="00B72EE1">
      <w:r w:rsidRPr="000111BC">
        <w:t xml:space="preserve">This document applies </w:t>
      </w:r>
      <w:r w:rsidR="00313808" w:rsidRPr="000111BC">
        <w:t xml:space="preserve">to all those undertaking research </w:t>
      </w:r>
      <w:r w:rsidR="003D7C7F" w:rsidRPr="000111BC">
        <w:t xml:space="preserve">using GR </w:t>
      </w:r>
      <w:r w:rsidR="00313808" w:rsidRPr="000111BC">
        <w:t>on the University’s premises, or on behalf of the University, including staff, students, visiting or emeritus staff, associates, honorary or clinical contract holders, contractors and consultants.</w:t>
      </w:r>
    </w:p>
    <w:p w14:paraId="135A12D2" w14:textId="3D8BDE51" w:rsidR="0054561B" w:rsidRPr="00B72EE1" w:rsidRDefault="0054561B" w:rsidP="00B72EE1">
      <w:r w:rsidRPr="000111BC">
        <w:t xml:space="preserve">This </w:t>
      </w:r>
      <w:r w:rsidR="00F204C6" w:rsidRPr="000111BC">
        <w:t xml:space="preserve">document details </w:t>
      </w:r>
      <w:r w:rsidR="00313808" w:rsidRPr="000111BC">
        <w:t xml:space="preserve">the following important stages </w:t>
      </w:r>
      <w:r w:rsidR="003D7C7F" w:rsidRPr="000111BC">
        <w:t>in determining whether the Nagoya Protocol applies to the Researcher’s</w:t>
      </w:r>
      <w:r w:rsidR="003D7C7F">
        <w:t xml:space="preserve"> proposed acquisition and use of GR and should be considered alongside completion of the Nagoya Protocol checklist.</w:t>
      </w:r>
    </w:p>
    <w:p w14:paraId="27943223" w14:textId="504BF9A9" w:rsidR="00AD3AC4" w:rsidRDefault="00AA6CAA" w:rsidP="00AA6CAA">
      <w:pPr>
        <w:pStyle w:val="Heading1"/>
      </w:pPr>
      <w:bookmarkStart w:id="4" w:name="_Toc48120277"/>
      <w:r w:rsidRPr="00AA6CAA">
        <w:lastRenderedPageBreak/>
        <w:t>The Nagoya Protocol Guide for Researchers (EHU)</w:t>
      </w:r>
      <w:bookmarkEnd w:id="4"/>
    </w:p>
    <w:p w14:paraId="7B5423FB" w14:textId="77777777" w:rsidR="00AD3AC4" w:rsidRDefault="00AD3AC4" w:rsidP="00C91FDD">
      <w:pPr>
        <w:pStyle w:val="Heading2"/>
        <w:numPr>
          <w:ilvl w:val="0"/>
          <w:numId w:val="8"/>
        </w:numPr>
      </w:pPr>
      <w:bookmarkStart w:id="5" w:name="_Toc48120278"/>
      <w:r w:rsidRPr="00AD3AC4">
        <w:t>Introduction</w:t>
      </w:r>
      <w:bookmarkEnd w:id="5"/>
    </w:p>
    <w:p w14:paraId="784BF993" w14:textId="43F546C3" w:rsidR="00AA6CAA" w:rsidRDefault="00AA6CAA" w:rsidP="00AA6CAA">
      <w:r>
        <w:t xml:space="preserve">The Nagoya Protocol on Access to GR and the Fair and Equitable Sharing of Benefits Arising from their utilisation to the Convention on Biological Diversity (CBD) (“the Protocol”) is an international agreement to ensure the fair and equitable access and benefit sharing (ABS) in using GR. The aims of the CBD are the conservation of biological diversity, the sustainable use of its components and the fair and equitable sharing of the benefits arising out of the utilisation of GR, including by appropriate access to GR and by appropriate transfer of relevant technologies, taking into account all rights over those resources and to technologies, and by appropriate funding.  The Protocol was adopted by European legislation through Regulation (EU) No. 511/2014 and came into force on 12th October 2014 </w:t>
      </w:r>
      <w:hyperlink r:id="rId9" w:history="1">
        <w:r w:rsidR="000111BC" w:rsidRPr="00A1077F">
          <w:rPr>
            <w:rStyle w:val="Hyperlink"/>
          </w:rPr>
          <w:t>https://eur-lex.europa.eu/legal-content/EN/TXT/?uri=CELEX:32014R0511</w:t>
        </w:r>
      </w:hyperlink>
      <w:r w:rsidR="000111BC">
        <w:t xml:space="preserve"> </w:t>
      </w:r>
      <w:r>
        <w:t xml:space="preserve"> It was implemented into UK law through Statutory Instrument No. 821 “The Nagoya Protocol (Compliance) Regulations 2015.” The legislation is implemented and enforced in the UK by the Office for Product Safety and Standards (OPS&amp;S)  </w:t>
      </w:r>
      <w:hyperlink r:id="rId10" w:history="1">
        <w:r w:rsidRPr="00202BE1">
          <w:rPr>
            <w:rStyle w:val="Hyperlink"/>
          </w:rPr>
          <w:t>https://www.gov.uk/government/organisations/office-for-product-safety-and-standards</w:t>
        </w:r>
      </w:hyperlink>
      <w:r>
        <w:t xml:space="preserve"> </w:t>
      </w:r>
    </w:p>
    <w:p w14:paraId="15B266CE" w14:textId="77777777" w:rsidR="00AA6CAA" w:rsidRDefault="00AA6CAA" w:rsidP="00AA6CAA">
      <w:r>
        <w:t xml:space="preserve">There is a legal obligation for researchers to comply with the Protocol. Researchers planning projects that may involve the collection of GR for research and development purposes must; consider this guidance, fill out the Nagoya Protocol checklist and discuss with the RO when deciding whether the Protocol applies. </w:t>
      </w:r>
    </w:p>
    <w:p w14:paraId="781E9D9C" w14:textId="77777777" w:rsidR="00AA6CAA" w:rsidRDefault="00AA6CAA" w:rsidP="00AA6CAA">
      <w:r>
        <w:t xml:space="preserve">Researchers who use GR are required to follow several steps to ensure that GR (and any </w:t>
      </w:r>
      <w:proofErr w:type="spellStart"/>
      <w:r>
        <w:t>aTK</w:t>
      </w:r>
      <w:proofErr w:type="spellEnd"/>
      <w:r>
        <w:t xml:space="preserve"> with those resources) have been accessed in accordance with applicable access and benefit sharing laws implemented by the provider country. These steps are detailed below. The RO will work with you to complete these steps. </w:t>
      </w:r>
    </w:p>
    <w:p w14:paraId="2E0E1695" w14:textId="0CB05637" w:rsidR="00AA6CAA" w:rsidRDefault="00AA6CAA" w:rsidP="00AA6CAA">
      <w:r>
        <w:t xml:space="preserve">Researchers should refer to the Access and Benefit-sharing Clearing House (ABS Clearing House) website https://absch.cbd.int/ which is an international web-based tool that facilitates the implementation of the Nagoya Protocol. ABS Clearing House shares relevant information about ABS and supports the monitoring of utilisation of GR. </w:t>
      </w:r>
    </w:p>
    <w:p w14:paraId="66C9EDAA" w14:textId="62E9F88B" w:rsidR="00AD3AC4" w:rsidRDefault="00C83614" w:rsidP="00C91FDD">
      <w:pPr>
        <w:pStyle w:val="Heading2"/>
        <w:numPr>
          <w:ilvl w:val="0"/>
          <w:numId w:val="8"/>
        </w:numPr>
      </w:pPr>
      <w:bookmarkStart w:id="6" w:name="_Toc48120279"/>
      <w:r>
        <w:t>Process</w:t>
      </w:r>
      <w:bookmarkEnd w:id="6"/>
    </w:p>
    <w:p w14:paraId="59CB46B1" w14:textId="6F91CEB5" w:rsidR="00660C7C" w:rsidRPr="00660C7C" w:rsidRDefault="001154A4" w:rsidP="001154A4">
      <w:pPr>
        <w:pStyle w:val="Heading3"/>
      </w:pPr>
      <w:bookmarkStart w:id="7" w:name="_Toc48120280"/>
      <w:r>
        <w:t>2.1</w:t>
      </w:r>
      <w:r>
        <w:tab/>
      </w:r>
      <w:r w:rsidR="00660C7C">
        <w:t>Use of the Nagoya Protocol</w:t>
      </w:r>
      <w:bookmarkEnd w:id="7"/>
    </w:p>
    <w:p w14:paraId="45DD049F" w14:textId="5C6F2CFC" w:rsidR="00AD3AC4" w:rsidRPr="00660C7C" w:rsidRDefault="00660C7C" w:rsidP="00C91FDD">
      <w:pPr>
        <w:rPr>
          <w:rFonts w:cs="Arial"/>
        </w:rPr>
      </w:pPr>
      <w:r w:rsidRPr="00660C7C">
        <w:rPr>
          <w:rFonts w:cs="Arial"/>
          <w:szCs w:val="24"/>
        </w:rPr>
        <w:t xml:space="preserve">Determine whether the Nagoya Protocol applies to the GR by using the Checklist. If the Protocol does not apply, skip to step </w:t>
      </w:r>
      <w:r>
        <w:rPr>
          <w:rFonts w:cs="Arial"/>
          <w:szCs w:val="24"/>
        </w:rPr>
        <w:t>2.</w:t>
      </w:r>
      <w:r w:rsidRPr="00660C7C">
        <w:rPr>
          <w:rFonts w:cs="Arial"/>
          <w:szCs w:val="24"/>
        </w:rPr>
        <w:t>7</w:t>
      </w:r>
    </w:p>
    <w:p w14:paraId="4B0728F2" w14:textId="4B348FDC" w:rsidR="00AD3AC4" w:rsidRDefault="00C91FDD" w:rsidP="00C91FDD">
      <w:pPr>
        <w:pStyle w:val="Heading3"/>
      </w:pPr>
      <w:bookmarkStart w:id="8" w:name="_Toc48120281"/>
      <w:r>
        <w:t>2.2</w:t>
      </w:r>
      <w:r>
        <w:tab/>
      </w:r>
      <w:r w:rsidR="00660C7C">
        <w:t>ABS Clearinghouse</w:t>
      </w:r>
      <w:bookmarkEnd w:id="8"/>
    </w:p>
    <w:p w14:paraId="6CBA95F1" w14:textId="72EC992B" w:rsidR="00AD3AC4" w:rsidRPr="00660C7C" w:rsidRDefault="00660C7C" w:rsidP="00C91FDD">
      <w:pPr>
        <w:rPr>
          <w:rFonts w:cs="Arial"/>
        </w:rPr>
      </w:pPr>
      <w:r w:rsidRPr="00660C7C">
        <w:rPr>
          <w:rFonts w:cs="Arial"/>
          <w:szCs w:val="24"/>
        </w:rPr>
        <w:t xml:space="preserve">Identify information on the provider country using the Checklist and referring to the ABS Clearing House website to determine whether the provider country has ratified the Protocol and established measures to regulate the GR. However, please note that information on the ABS Clearing House website may not always be up to date in </w:t>
      </w:r>
      <w:r w:rsidRPr="00660C7C">
        <w:rPr>
          <w:rFonts w:cs="Arial"/>
          <w:szCs w:val="24"/>
        </w:rPr>
        <w:lastRenderedPageBreak/>
        <w:t>some developing countries. Therefore, it is always a good idea to contact the National Focal Point (NFP)/Competent National Authority (CNA) to ensure you have got the most up to date information</w:t>
      </w:r>
      <w:r w:rsidR="00AD3AC4" w:rsidRPr="00660C7C">
        <w:rPr>
          <w:rFonts w:cs="Arial"/>
        </w:rPr>
        <w:t>.</w:t>
      </w:r>
    </w:p>
    <w:p w14:paraId="4D172A13" w14:textId="5884B340" w:rsidR="00AD3AC4" w:rsidRDefault="00C91FDD" w:rsidP="00C91FDD">
      <w:pPr>
        <w:pStyle w:val="Heading3"/>
      </w:pPr>
      <w:bookmarkStart w:id="9" w:name="_Toc48120282"/>
      <w:r>
        <w:t>2.3</w:t>
      </w:r>
      <w:r>
        <w:tab/>
      </w:r>
      <w:r w:rsidR="00660C7C">
        <w:t xml:space="preserve">Due </w:t>
      </w:r>
      <w:proofErr w:type="spellStart"/>
      <w:r w:rsidR="00660C7C">
        <w:t>Dilligence</w:t>
      </w:r>
      <w:bookmarkEnd w:id="9"/>
      <w:proofErr w:type="spellEnd"/>
    </w:p>
    <w:p w14:paraId="28CF9AE3" w14:textId="320B4E6F" w:rsidR="000111BC" w:rsidRDefault="00660C7C" w:rsidP="000111BC">
      <w:pPr>
        <w:suppressAutoHyphens/>
        <w:autoSpaceDN w:val="0"/>
        <w:spacing w:after="160" w:line="254" w:lineRule="auto"/>
        <w:jc w:val="both"/>
        <w:textAlignment w:val="baseline"/>
        <w:rPr>
          <w:rFonts w:cs="Arial"/>
          <w:szCs w:val="24"/>
        </w:rPr>
      </w:pPr>
      <w:r w:rsidRPr="00660C7C">
        <w:rPr>
          <w:rFonts w:cs="Arial"/>
          <w:szCs w:val="24"/>
        </w:rPr>
        <w:t>Undertake Due Diligence. The Due Diligence steps required will vary depending on how the GR was accessed:</w:t>
      </w:r>
    </w:p>
    <w:p w14:paraId="101B67F1" w14:textId="5EB3E400" w:rsidR="001154A4" w:rsidRDefault="001154A4" w:rsidP="001154A4">
      <w:pPr>
        <w:ind w:firstLine="720"/>
        <w:jc w:val="both"/>
        <w:rPr>
          <w:rFonts w:cs="Arial"/>
          <w:i/>
          <w:szCs w:val="24"/>
        </w:rPr>
      </w:pPr>
      <w:bookmarkStart w:id="10" w:name="_Hlk47693117"/>
      <w:bookmarkStart w:id="11" w:name="_Toc48120283"/>
      <w:r w:rsidRPr="001154A4">
        <w:rPr>
          <w:rStyle w:val="Heading3Char"/>
        </w:rPr>
        <w:t>2.3.1</w:t>
      </w:r>
      <w:r w:rsidRPr="001154A4">
        <w:rPr>
          <w:rStyle w:val="Heading3Char"/>
        </w:rPr>
        <w:tab/>
        <w:t>Direct Access</w:t>
      </w:r>
      <w:bookmarkEnd w:id="11"/>
      <w:r w:rsidRPr="001154A4">
        <w:rPr>
          <w:rFonts w:cs="Arial"/>
          <w:i/>
          <w:szCs w:val="24"/>
        </w:rPr>
        <w:t xml:space="preserve"> (i.e. using GR obtained directly from the country of origin by the researcher):</w:t>
      </w:r>
    </w:p>
    <w:bookmarkEnd w:id="10"/>
    <w:p w14:paraId="247F1701"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Using the ABS Clearing House, determine whether the access measures include requirements to obtain the PIC and the MAT (or equivalent) for the GR.</w:t>
      </w:r>
    </w:p>
    <w:p w14:paraId="3AA24732"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If unsure, contact that country’s named ABS NFP or CNA designated under the Protocol to confirm.</w:t>
      </w:r>
    </w:p>
    <w:p w14:paraId="7E922E17" w14:textId="1C30013C"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If required, apply for the PIC. This involves submitting the required information (which will vary) to the identified entry points and stakeholders of the provider country e.g. the CNA, local </w:t>
      </w:r>
      <w:r w:rsidR="00587915" w:rsidRPr="001154A4">
        <w:rPr>
          <w:rFonts w:cs="Arial"/>
          <w:szCs w:val="24"/>
        </w:rPr>
        <w:t>communities,</w:t>
      </w:r>
      <w:r w:rsidRPr="001154A4">
        <w:rPr>
          <w:rFonts w:cs="Arial"/>
          <w:szCs w:val="24"/>
        </w:rPr>
        <w:t xml:space="preserve"> and different levels of government. </w:t>
      </w:r>
    </w:p>
    <w:p w14:paraId="48FF1BE5"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If GR or any </w:t>
      </w:r>
      <w:proofErr w:type="spellStart"/>
      <w:r w:rsidRPr="001154A4">
        <w:rPr>
          <w:rFonts w:cs="Arial"/>
          <w:szCs w:val="24"/>
        </w:rPr>
        <w:t>aTK</w:t>
      </w:r>
      <w:proofErr w:type="spellEnd"/>
      <w:r w:rsidRPr="001154A4">
        <w:rPr>
          <w:rFonts w:cs="Arial"/>
          <w:szCs w:val="24"/>
        </w:rPr>
        <w:t xml:space="preserve"> are obtained from indigenous or local communities, it is best practice to negotiate MAT for access even if this is not required in the national legislation. </w:t>
      </w:r>
    </w:p>
    <w:p w14:paraId="7DDDFDA0"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Check whether you need other permits (e.g. export control, access to protected areas, import permits to the UK via contacting the Animal and Plant Health Agency (APHA). </w:t>
      </w:r>
    </w:p>
    <w:p w14:paraId="4857D05F"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After the PIC is obtained, the RO will negotiate the MAT with the CNA.</w:t>
      </w:r>
    </w:p>
    <w:p w14:paraId="6BE1A00E"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The CNA in the provider country issues a national permit or its equivalent to the user. </w:t>
      </w:r>
    </w:p>
    <w:p w14:paraId="49C6273B" w14:textId="77777777" w:rsidR="001154A4" w:rsidRPr="001154A4" w:rsidRDefault="001154A4" w:rsidP="001154A4">
      <w:pPr>
        <w:pStyle w:val="ListParagraph"/>
        <w:numPr>
          <w:ilvl w:val="0"/>
          <w:numId w:val="21"/>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In countries with access legislation, the provider country may upload the PIC and MAT they have negotiated with a user to the ABS clearing house, at which point it becomes an IRCC. While not a compulsory action, it can be a useful way to keep ABS related documentation associated with a GR together and in one place. For the user, it’s a document that can be referenced to demonstrate Due Diligence in a declaration, or easily transferred to any new users of the GR. </w:t>
      </w:r>
    </w:p>
    <w:p w14:paraId="363ECECF" w14:textId="4622E848" w:rsidR="001154A4" w:rsidRDefault="001154A4" w:rsidP="000745FB">
      <w:pPr>
        <w:ind w:firstLine="720"/>
        <w:jc w:val="both"/>
        <w:rPr>
          <w:rFonts w:cs="Arial"/>
          <w:iCs/>
          <w:szCs w:val="24"/>
        </w:rPr>
      </w:pPr>
      <w:bookmarkStart w:id="12" w:name="_Toc48120284"/>
      <w:r w:rsidRPr="001154A4">
        <w:rPr>
          <w:rStyle w:val="Heading3Char"/>
        </w:rPr>
        <w:t>2.3.</w:t>
      </w:r>
      <w:r>
        <w:rPr>
          <w:rStyle w:val="Heading3Char"/>
        </w:rPr>
        <w:t>2</w:t>
      </w:r>
      <w:r w:rsidRPr="001154A4">
        <w:rPr>
          <w:rStyle w:val="Heading3Char"/>
        </w:rPr>
        <w:tab/>
      </w:r>
      <w:r>
        <w:rPr>
          <w:rStyle w:val="Heading3Char"/>
        </w:rPr>
        <w:t>Ind</w:t>
      </w:r>
      <w:r w:rsidRPr="001154A4">
        <w:rPr>
          <w:rStyle w:val="Heading3Char"/>
        </w:rPr>
        <w:t>irect Access</w:t>
      </w:r>
      <w:bookmarkEnd w:id="12"/>
      <w:r w:rsidRPr="001154A4">
        <w:rPr>
          <w:rFonts w:cs="Arial"/>
          <w:i/>
          <w:szCs w:val="24"/>
        </w:rPr>
        <w:t xml:space="preserve"> (i.e. the GR is accessed from a third party e.g. collaborator):</w:t>
      </w:r>
    </w:p>
    <w:p w14:paraId="7178D686" w14:textId="77777777" w:rsidR="001154A4" w:rsidRPr="001154A4" w:rsidRDefault="001154A4" w:rsidP="001154A4">
      <w:pPr>
        <w:pStyle w:val="ListParagraph"/>
        <w:numPr>
          <w:ilvl w:val="0"/>
          <w:numId w:val="23"/>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Inquire about the best way to obtain the GR for your project from the intermediary (this may vary depending on if the intermediary is a registered collection, collaborator, ex situ facility etc.). </w:t>
      </w:r>
    </w:p>
    <w:p w14:paraId="43CAD98D" w14:textId="77777777" w:rsidR="001154A4" w:rsidRPr="001154A4" w:rsidRDefault="001154A4" w:rsidP="001154A4">
      <w:pPr>
        <w:pStyle w:val="ListParagraph"/>
        <w:numPr>
          <w:ilvl w:val="0"/>
          <w:numId w:val="23"/>
        </w:numPr>
        <w:suppressAutoHyphens/>
        <w:autoSpaceDN w:val="0"/>
        <w:spacing w:after="160" w:line="254" w:lineRule="auto"/>
        <w:contextualSpacing w:val="0"/>
        <w:jc w:val="both"/>
        <w:textAlignment w:val="baseline"/>
        <w:rPr>
          <w:rFonts w:cs="Arial"/>
          <w:szCs w:val="24"/>
        </w:rPr>
      </w:pPr>
      <w:r w:rsidRPr="001154A4">
        <w:rPr>
          <w:rFonts w:cs="Arial"/>
          <w:szCs w:val="24"/>
        </w:rPr>
        <w:lastRenderedPageBreak/>
        <w:t xml:space="preserve">Confirm whether the PIC and MAT were established by the intermediary when the resources were originally accessed or seek records confirming that the PIC and MAT were not required. Please note that it may be that the original use was out of scope of the EU regulation and the provider country access measures, however the new use requires a PIC &amp; MAT. In this case, the new user will need the information detailed under Article 4:3(b) in order to determine whether they need to contact the provider country. </w:t>
      </w:r>
    </w:p>
    <w:p w14:paraId="5808CE43" w14:textId="77777777" w:rsidR="001154A4" w:rsidRPr="001154A4" w:rsidRDefault="001154A4" w:rsidP="001154A4">
      <w:pPr>
        <w:pStyle w:val="ListParagraph"/>
        <w:numPr>
          <w:ilvl w:val="0"/>
          <w:numId w:val="23"/>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Obtain the PIC and MAT from the intermediary. This will likely be in the form of an IRCC but may alternatively be in the form of equivalent information. </w:t>
      </w:r>
    </w:p>
    <w:p w14:paraId="64DDCA96" w14:textId="77777777" w:rsidR="001154A4" w:rsidRPr="001154A4" w:rsidRDefault="001154A4" w:rsidP="001154A4">
      <w:pPr>
        <w:pStyle w:val="ListParagraph"/>
        <w:numPr>
          <w:ilvl w:val="0"/>
          <w:numId w:val="23"/>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Confirm that the transfer and your intended utilisation are covered by the PIC and MAT conditions. </w:t>
      </w:r>
    </w:p>
    <w:p w14:paraId="2BB1CC10" w14:textId="77777777" w:rsidR="001154A4" w:rsidRPr="001154A4" w:rsidRDefault="001154A4" w:rsidP="001154A4">
      <w:pPr>
        <w:pStyle w:val="ListParagraph"/>
        <w:numPr>
          <w:ilvl w:val="0"/>
          <w:numId w:val="23"/>
        </w:numPr>
        <w:suppressAutoHyphens/>
        <w:autoSpaceDN w:val="0"/>
        <w:spacing w:after="160" w:line="254" w:lineRule="auto"/>
        <w:contextualSpacing w:val="0"/>
        <w:jc w:val="both"/>
        <w:textAlignment w:val="baseline"/>
        <w:rPr>
          <w:rFonts w:cs="Arial"/>
          <w:szCs w:val="24"/>
        </w:rPr>
      </w:pPr>
      <w:r w:rsidRPr="001154A4">
        <w:rPr>
          <w:rFonts w:cs="Arial"/>
          <w:szCs w:val="24"/>
        </w:rPr>
        <w:t xml:space="preserve">If not apply for a new or modified MAT from the provider country. </w:t>
      </w:r>
    </w:p>
    <w:p w14:paraId="6617CA57" w14:textId="77777777" w:rsidR="00C83614" w:rsidRDefault="00C83614" w:rsidP="00C91FDD">
      <w:pPr>
        <w:pStyle w:val="Heading3"/>
      </w:pPr>
    </w:p>
    <w:p w14:paraId="39810575" w14:textId="44F0D492" w:rsidR="00AD3AC4" w:rsidRPr="00660C7C" w:rsidRDefault="00C91FDD" w:rsidP="00C91FDD">
      <w:pPr>
        <w:pStyle w:val="Heading3"/>
        <w:rPr>
          <w:highlight w:val="yellow"/>
        </w:rPr>
      </w:pPr>
      <w:bookmarkStart w:id="13" w:name="_Toc48120285"/>
      <w:r>
        <w:t>2.4</w:t>
      </w:r>
      <w:r>
        <w:tab/>
      </w:r>
      <w:r w:rsidR="002F3845" w:rsidRPr="002F3845">
        <w:t>Due Diligence</w:t>
      </w:r>
      <w:bookmarkEnd w:id="13"/>
    </w:p>
    <w:p w14:paraId="6EBE0A90" w14:textId="226A6E8D" w:rsidR="002F3845" w:rsidRDefault="002F3845" w:rsidP="002F3845">
      <w:pPr>
        <w:suppressAutoHyphens/>
        <w:autoSpaceDN w:val="0"/>
        <w:spacing w:after="160" w:line="254" w:lineRule="auto"/>
        <w:jc w:val="both"/>
        <w:textAlignment w:val="baseline"/>
        <w:rPr>
          <w:rFonts w:cs="Arial"/>
          <w:szCs w:val="24"/>
        </w:rPr>
      </w:pPr>
      <w:r w:rsidRPr="002F3845">
        <w:rPr>
          <w:rFonts w:cs="Arial"/>
          <w:szCs w:val="24"/>
        </w:rPr>
        <w:t xml:space="preserve">Submit a Due Diligence declaration if either of the checkpoints are triggered </w:t>
      </w:r>
      <w:r w:rsidRPr="00587915">
        <w:rPr>
          <w:rFonts w:cs="Arial"/>
          <w:szCs w:val="24"/>
        </w:rPr>
        <w:t xml:space="preserve">(see </w:t>
      </w:r>
      <w:r w:rsidR="00587915" w:rsidRPr="00587915">
        <w:rPr>
          <w:rFonts w:cs="Arial"/>
          <w:szCs w:val="24"/>
        </w:rPr>
        <w:t xml:space="preserve">3.1 </w:t>
      </w:r>
      <w:r w:rsidRPr="00587915">
        <w:rPr>
          <w:rFonts w:cs="Arial"/>
          <w:szCs w:val="24"/>
        </w:rPr>
        <w:t>below).</w:t>
      </w:r>
      <w:r w:rsidRPr="002F3845">
        <w:rPr>
          <w:rFonts w:cs="Arial"/>
          <w:szCs w:val="24"/>
        </w:rPr>
        <w:t xml:space="preserve"> </w:t>
      </w:r>
    </w:p>
    <w:p w14:paraId="54EB8C8A" w14:textId="68D5058A" w:rsidR="00A1551C" w:rsidRDefault="00A1551C" w:rsidP="003C2CA4">
      <w:pPr>
        <w:pStyle w:val="Heading3"/>
      </w:pPr>
      <w:bookmarkStart w:id="14" w:name="_Toc48120286"/>
      <w:r w:rsidRPr="00A1551C">
        <w:t>2.5</w:t>
      </w:r>
      <w:r w:rsidRPr="00A1551C">
        <w:tab/>
      </w:r>
      <w:r>
        <w:t xml:space="preserve">Record </w:t>
      </w:r>
      <w:r w:rsidR="003C2CA4">
        <w:t>Keeping</w:t>
      </w:r>
      <w:bookmarkEnd w:id="14"/>
    </w:p>
    <w:p w14:paraId="2851053E" w14:textId="4D8CD2D9" w:rsidR="00A1551C" w:rsidRPr="003C2CA4" w:rsidRDefault="00A1551C" w:rsidP="00A1551C">
      <w:pPr>
        <w:suppressAutoHyphens/>
        <w:autoSpaceDN w:val="0"/>
        <w:spacing w:after="160" w:line="254" w:lineRule="auto"/>
        <w:jc w:val="both"/>
        <w:textAlignment w:val="baseline"/>
        <w:rPr>
          <w:rFonts w:cs="Arial"/>
          <w:szCs w:val="24"/>
        </w:rPr>
      </w:pPr>
      <w:r w:rsidRPr="003C2CA4">
        <w:rPr>
          <w:rFonts w:cs="Arial"/>
          <w:szCs w:val="24"/>
        </w:rPr>
        <w:t xml:space="preserve">Keep appropriate records </w:t>
      </w:r>
      <w:r w:rsidRPr="00587915">
        <w:rPr>
          <w:rFonts w:cs="Arial"/>
          <w:szCs w:val="24"/>
        </w:rPr>
        <w:t xml:space="preserve">(see </w:t>
      </w:r>
      <w:r w:rsidR="00587915" w:rsidRPr="00587915">
        <w:rPr>
          <w:rFonts w:cs="Arial"/>
          <w:szCs w:val="24"/>
        </w:rPr>
        <w:t xml:space="preserve">4.1 </w:t>
      </w:r>
      <w:r w:rsidRPr="00587915">
        <w:rPr>
          <w:rFonts w:cs="Arial"/>
          <w:szCs w:val="24"/>
        </w:rPr>
        <w:t>below)</w:t>
      </w:r>
      <w:r w:rsidRPr="003C2CA4">
        <w:rPr>
          <w:rFonts w:cs="Arial"/>
          <w:szCs w:val="24"/>
        </w:rPr>
        <w:t xml:space="preserve">. Due Diligence records must be stored for a minimum of 20 years after the end of utilisation. </w:t>
      </w:r>
    </w:p>
    <w:p w14:paraId="6303118B" w14:textId="46429656" w:rsidR="00A1551C" w:rsidRDefault="003C2CA4" w:rsidP="003C2CA4">
      <w:pPr>
        <w:pStyle w:val="Heading3"/>
      </w:pPr>
      <w:bookmarkStart w:id="15" w:name="_Toc48120287"/>
      <w:r>
        <w:t>2.6</w:t>
      </w:r>
      <w:r>
        <w:tab/>
        <w:t>Transfer</w:t>
      </w:r>
      <w:bookmarkEnd w:id="15"/>
    </w:p>
    <w:p w14:paraId="4B76A277" w14:textId="77777777" w:rsidR="003C2CA4" w:rsidRPr="003C2CA4" w:rsidRDefault="003C2CA4" w:rsidP="003C2CA4">
      <w:pPr>
        <w:pStyle w:val="ListParagraph"/>
        <w:numPr>
          <w:ilvl w:val="0"/>
          <w:numId w:val="24"/>
        </w:numPr>
        <w:suppressAutoHyphens/>
        <w:autoSpaceDN w:val="0"/>
        <w:spacing w:after="160" w:line="254" w:lineRule="auto"/>
        <w:contextualSpacing w:val="0"/>
        <w:jc w:val="both"/>
        <w:textAlignment w:val="baseline"/>
        <w:rPr>
          <w:rFonts w:cs="Arial"/>
          <w:szCs w:val="24"/>
        </w:rPr>
      </w:pPr>
      <w:r w:rsidRPr="003C2CA4">
        <w:rPr>
          <w:rFonts w:cs="Arial"/>
          <w:szCs w:val="24"/>
        </w:rPr>
        <w:t>Transferring GR must be in accordance with the requirements set out in the PIC and MAT.</w:t>
      </w:r>
    </w:p>
    <w:p w14:paraId="21438819" w14:textId="77777777" w:rsidR="003C2CA4" w:rsidRPr="003C2CA4" w:rsidRDefault="003C2CA4" w:rsidP="003C2CA4">
      <w:pPr>
        <w:pStyle w:val="ListParagraph"/>
        <w:numPr>
          <w:ilvl w:val="0"/>
          <w:numId w:val="24"/>
        </w:numPr>
        <w:suppressAutoHyphens/>
        <w:autoSpaceDN w:val="0"/>
        <w:spacing w:after="160" w:line="254" w:lineRule="auto"/>
        <w:contextualSpacing w:val="0"/>
        <w:jc w:val="both"/>
        <w:textAlignment w:val="baseline"/>
        <w:rPr>
          <w:rFonts w:cs="Arial"/>
          <w:szCs w:val="24"/>
        </w:rPr>
      </w:pPr>
      <w:r w:rsidRPr="003C2CA4">
        <w:rPr>
          <w:rFonts w:cs="Arial"/>
          <w:szCs w:val="24"/>
        </w:rPr>
        <w:t>The transfer should include: the PIC and MAT (or the equivalent).</w:t>
      </w:r>
    </w:p>
    <w:p w14:paraId="36C8EAE5" w14:textId="77777777" w:rsidR="003C2CA4" w:rsidRPr="003C2CA4" w:rsidRDefault="003C2CA4" w:rsidP="003C2CA4">
      <w:pPr>
        <w:pStyle w:val="ListParagraph"/>
        <w:numPr>
          <w:ilvl w:val="0"/>
          <w:numId w:val="24"/>
        </w:numPr>
        <w:suppressAutoHyphens/>
        <w:autoSpaceDN w:val="0"/>
        <w:spacing w:after="160" w:line="254" w:lineRule="auto"/>
        <w:contextualSpacing w:val="0"/>
        <w:jc w:val="both"/>
        <w:textAlignment w:val="baseline"/>
        <w:rPr>
          <w:rFonts w:cs="Arial"/>
          <w:szCs w:val="24"/>
        </w:rPr>
      </w:pPr>
      <w:r w:rsidRPr="003C2CA4">
        <w:rPr>
          <w:rFonts w:cs="Arial"/>
          <w:szCs w:val="24"/>
        </w:rPr>
        <w:t xml:space="preserve">The transferred information must be kept by the new holder and included in any subsequent transfers. </w:t>
      </w:r>
    </w:p>
    <w:p w14:paraId="22EE006D" w14:textId="4C62B839" w:rsidR="003C2CA4" w:rsidRPr="003C2CA4" w:rsidRDefault="003C2CA4" w:rsidP="000745FB">
      <w:pPr>
        <w:suppressAutoHyphens/>
        <w:autoSpaceDN w:val="0"/>
        <w:spacing w:after="160" w:line="254" w:lineRule="auto"/>
        <w:ind w:left="360" w:hanging="360"/>
        <w:textAlignment w:val="baseline"/>
        <w:rPr>
          <w:rFonts w:cs="Arial"/>
          <w:szCs w:val="24"/>
        </w:rPr>
      </w:pPr>
      <w:bookmarkStart w:id="16" w:name="_Toc48120288"/>
      <w:r w:rsidRPr="003C2CA4">
        <w:rPr>
          <w:rStyle w:val="Heading3Char"/>
        </w:rPr>
        <w:t>2.7</w:t>
      </w:r>
      <w:r w:rsidRPr="003C2CA4">
        <w:rPr>
          <w:rStyle w:val="Heading3Char"/>
        </w:rPr>
        <w:tab/>
      </w:r>
      <w:r w:rsidR="000745FB">
        <w:rPr>
          <w:rStyle w:val="Heading3Char"/>
        </w:rPr>
        <w:tab/>
      </w:r>
      <w:r w:rsidRPr="003C2CA4">
        <w:rPr>
          <w:rStyle w:val="Heading3Char"/>
        </w:rPr>
        <w:t>Outside the scope of the Nagoya Protocol</w:t>
      </w:r>
      <w:bookmarkEnd w:id="16"/>
      <w:r w:rsidRPr="003C2CA4">
        <w:rPr>
          <w:rFonts w:cs="Arial"/>
          <w:szCs w:val="24"/>
        </w:rPr>
        <w:br/>
        <w:t>If you determine that your work is not within the scope of the Nagoya Protocol:</w:t>
      </w:r>
    </w:p>
    <w:p w14:paraId="321DBC39" w14:textId="77777777" w:rsidR="003C2CA4" w:rsidRPr="003C2CA4" w:rsidRDefault="003C2CA4" w:rsidP="003C2CA4">
      <w:pPr>
        <w:pStyle w:val="ListParagraph"/>
        <w:numPr>
          <w:ilvl w:val="0"/>
          <w:numId w:val="26"/>
        </w:numPr>
        <w:suppressAutoHyphens/>
        <w:autoSpaceDN w:val="0"/>
        <w:spacing w:after="160" w:line="254" w:lineRule="auto"/>
        <w:contextualSpacing w:val="0"/>
        <w:jc w:val="both"/>
        <w:textAlignment w:val="baseline"/>
        <w:rPr>
          <w:rFonts w:cs="Arial"/>
          <w:szCs w:val="24"/>
        </w:rPr>
      </w:pPr>
      <w:r w:rsidRPr="003C2CA4">
        <w:rPr>
          <w:rFonts w:cs="Arial"/>
          <w:szCs w:val="24"/>
        </w:rPr>
        <w:t xml:space="preserve">Please keep a record of your rationale that determined this decision as a Due Diligence record. The RO will also keep a record of this. </w:t>
      </w:r>
    </w:p>
    <w:p w14:paraId="16A86F52" w14:textId="7B68825F" w:rsidR="003C2CA4" w:rsidRPr="003C2CA4" w:rsidRDefault="003C2CA4" w:rsidP="003C2CA4">
      <w:pPr>
        <w:pStyle w:val="ListParagraph"/>
        <w:numPr>
          <w:ilvl w:val="0"/>
          <w:numId w:val="26"/>
        </w:numPr>
        <w:suppressAutoHyphens/>
        <w:autoSpaceDN w:val="0"/>
        <w:spacing w:after="160" w:line="254" w:lineRule="auto"/>
        <w:contextualSpacing w:val="0"/>
        <w:jc w:val="both"/>
        <w:textAlignment w:val="baseline"/>
        <w:rPr>
          <w:rFonts w:cs="Arial"/>
          <w:szCs w:val="24"/>
        </w:rPr>
      </w:pPr>
      <w:r w:rsidRPr="003C2CA4">
        <w:rPr>
          <w:rFonts w:cs="Arial"/>
          <w:szCs w:val="24"/>
        </w:rPr>
        <w:t xml:space="preserve">Some nations may have their own ABS legislation unrelated to the Nagoya Protocol and this legislation would still need to be followed. </w:t>
      </w:r>
    </w:p>
    <w:p w14:paraId="47F9829C" w14:textId="77777777" w:rsidR="000745FB" w:rsidRDefault="000745FB" w:rsidP="00C83614">
      <w:pPr>
        <w:pStyle w:val="Heading2"/>
      </w:pPr>
    </w:p>
    <w:p w14:paraId="6E857EDF" w14:textId="0E6EB3EF" w:rsidR="00AD3AC4" w:rsidRPr="00C83614" w:rsidRDefault="00C80C20" w:rsidP="00C83614">
      <w:pPr>
        <w:pStyle w:val="Heading2"/>
      </w:pPr>
      <w:bookmarkStart w:id="17" w:name="_Toc48120289"/>
      <w:r w:rsidRPr="000745FB">
        <w:t>3</w:t>
      </w:r>
      <w:r w:rsidR="00C91FDD" w:rsidRPr="000745FB">
        <w:tab/>
      </w:r>
      <w:r w:rsidR="003C2CA4" w:rsidRPr="00C83614">
        <w:t>Submitting a Due Diligence Declaration</w:t>
      </w:r>
      <w:bookmarkEnd w:id="17"/>
    </w:p>
    <w:p w14:paraId="75D52D9C" w14:textId="1E5F9ACE" w:rsidR="00C83614" w:rsidRPr="00C83614" w:rsidRDefault="000745FB" w:rsidP="000745FB">
      <w:pPr>
        <w:rPr>
          <w:rFonts w:cs="Arial"/>
          <w:szCs w:val="24"/>
        </w:rPr>
      </w:pPr>
      <w:bookmarkStart w:id="18" w:name="_Toc48120290"/>
      <w:r w:rsidRPr="000745FB">
        <w:rPr>
          <w:rStyle w:val="Heading3Char"/>
        </w:rPr>
        <w:t>3.1</w:t>
      </w:r>
      <w:r w:rsidRPr="000745FB">
        <w:rPr>
          <w:rStyle w:val="Heading3Char"/>
        </w:rPr>
        <w:tab/>
        <w:t>Declaration Triggers</w:t>
      </w:r>
      <w:bookmarkEnd w:id="18"/>
      <w:r>
        <w:rPr>
          <w:rFonts w:cs="Arial"/>
          <w:szCs w:val="24"/>
        </w:rPr>
        <w:br/>
      </w:r>
      <w:r w:rsidR="00C83614" w:rsidRPr="00C83614">
        <w:rPr>
          <w:rFonts w:cs="Arial"/>
          <w:szCs w:val="24"/>
        </w:rPr>
        <w:t xml:space="preserve">There are two checkpoints that trigger the requirement for a Due Diligence Declaration: </w:t>
      </w:r>
    </w:p>
    <w:p w14:paraId="291636D8" w14:textId="77777777" w:rsidR="00C83614" w:rsidRPr="000745FB" w:rsidRDefault="00C83614" w:rsidP="00C83614"/>
    <w:p w14:paraId="1261115F" w14:textId="2E602048" w:rsidR="00AD3AC4" w:rsidRPr="000745FB" w:rsidRDefault="00C80C20" w:rsidP="000745FB">
      <w:pPr>
        <w:pStyle w:val="Heading3"/>
        <w:ind w:firstLine="720"/>
      </w:pPr>
      <w:bookmarkStart w:id="19" w:name="_Toc48120291"/>
      <w:r w:rsidRPr="000745FB">
        <w:t>3.1</w:t>
      </w:r>
      <w:r w:rsidR="00C83614" w:rsidRPr="000745FB">
        <w:t>.</w:t>
      </w:r>
      <w:r w:rsidR="000745FB" w:rsidRPr="000745FB">
        <w:t>1</w:t>
      </w:r>
      <w:r w:rsidRPr="000745FB">
        <w:tab/>
      </w:r>
      <w:r w:rsidR="00C83614" w:rsidRPr="000745FB">
        <w:t>Research Grant</w:t>
      </w:r>
      <w:bookmarkEnd w:id="19"/>
    </w:p>
    <w:p w14:paraId="4A7B6D92" w14:textId="47F0EEA7" w:rsidR="000745FB" w:rsidRDefault="000745FB" w:rsidP="000745FB">
      <w:pPr>
        <w:pStyle w:val="ListParagraph"/>
        <w:suppressAutoHyphens/>
        <w:autoSpaceDN w:val="0"/>
        <w:spacing w:after="160"/>
        <w:contextualSpacing w:val="0"/>
        <w:jc w:val="both"/>
        <w:textAlignment w:val="baseline"/>
        <w:rPr>
          <w:rFonts w:cs="Arial"/>
          <w:szCs w:val="24"/>
        </w:rPr>
      </w:pPr>
      <w:r w:rsidRPr="005447B4">
        <w:rPr>
          <w:rFonts w:cs="Arial"/>
          <w:szCs w:val="24"/>
        </w:rPr>
        <w:t>Receipt of research grants to support the utilisation of GR – the declaration is required after the receipt of the first instalment of funding and after obtaining all GR but before the final project report</w:t>
      </w:r>
      <w:r w:rsidR="00587915">
        <w:rPr>
          <w:rFonts w:cs="Arial"/>
          <w:szCs w:val="24"/>
        </w:rPr>
        <w:t>.</w:t>
      </w:r>
    </w:p>
    <w:p w14:paraId="3DA2C044" w14:textId="477F34C2" w:rsidR="00AD3AC4" w:rsidRPr="0042035C" w:rsidRDefault="00C80C20" w:rsidP="000745FB">
      <w:pPr>
        <w:pStyle w:val="Heading3"/>
        <w:ind w:firstLine="720"/>
      </w:pPr>
      <w:bookmarkStart w:id="20" w:name="_Toc48120292"/>
      <w:r w:rsidRPr="0042035C">
        <w:t>3.</w:t>
      </w:r>
      <w:r w:rsidR="000745FB" w:rsidRPr="0042035C">
        <w:t>1.</w:t>
      </w:r>
      <w:r w:rsidRPr="0042035C">
        <w:t>2</w:t>
      </w:r>
      <w:r w:rsidR="00C91FDD" w:rsidRPr="0042035C">
        <w:tab/>
      </w:r>
      <w:r w:rsidR="00C83614" w:rsidRPr="0042035C">
        <w:t>Product Development</w:t>
      </w:r>
      <w:bookmarkEnd w:id="20"/>
    </w:p>
    <w:p w14:paraId="0C741005" w14:textId="20601D99" w:rsidR="000745FB" w:rsidRPr="005447B4" w:rsidRDefault="000745FB" w:rsidP="000745FB">
      <w:pPr>
        <w:pStyle w:val="ListParagraph"/>
        <w:suppressAutoHyphens/>
        <w:autoSpaceDN w:val="0"/>
        <w:spacing w:after="160"/>
        <w:contextualSpacing w:val="0"/>
        <w:jc w:val="both"/>
        <w:textAlignment w:val="baseline"/>
        <w:rPr>
          <w:rFonts w:cs="Arial"/>
          <w:szCs w:val="24"/>
        </w:rPr>
      </w:pPr>
      <w:r w:rsidRPr="005447B4">
        <w:rPr>
          <w:rFonts w:cs="Arial"/>
          <w:szCs w:val="24"/>
        </w:rPr>
        <w:t>Reaching the final stages of product development (i.e. commercialisation) as a result of utilising the GR</w:t>
      </w:r>
      <w:r w:rsidR="00587915">
        <w:rPr>
          <w:rFonts w:cs="Arial"/>
          <w:szCs w:val="24"/>
        </w:rPr>
        <w:t>.</w:t>
      </w:r>
      <w:r w:rsidRPr="005447B4">
        <w:rPr>
          <w:rFonts w:cs="Arial"/>
          <w:szCs w:val="24"/>
        </w:rPr>
        <w:t xml:space="preserve"> </w:t>
      </w:r>
    </w:p>
    <w:p w14:paraId="2C6DB22F" w14:textId="3BCB02A5" w:rsidR="00AD3AC4" w:rsidRDefault="00C80C20" w:rsidP="00C91FDD">
      <w:pPr>
        <w:pStyle w:val="Heading3"/>
      </w:pPr>
      <w:bookmarkStart w:id="21" w:name="_Toc48120293"/>
      <w:r>
        <w:t>3.</w:t>
      </w:r>
      <w:r w:rsidR="000745FB">
        <w:t>2</w:t>
      </w:r>
      <w:r w:rsidR="00C91FDD">
        <w:tab/>
      </w:r>
      <w:r w:rsidR="000745FB" w:rsidRPr="0042035C">
        <w:t>On reaching either checkpoint</w:t>
      </w:r>
      <w:bookmarkEnd w:id="21"/>
    </w:p>
    <w:p w14:paraId="2039F2F8" w14:textId="77777777" w:rsidR="0042035C" w:rsidRPr="0042035C" w:rsidRDefault="0042035C" w:rsidP="0042035C">
      <w:pPr>
        <w:suppressAutoHyphens/>
        <w:autoSpaceDN w:val="0"/>
        <w:spacing w:after="160"/>
        <w:jc w:val="both"/>
        <w:textAlignment w:val="baseline"/>
        <w:rPr>
          <w:rFonts w:cs="Arial"/>
        </w:rPr>
      </w:pPr>
      <w:r w:rsidRPr="0042035C">
        <w:rPr>
          <w:rFonts w:cs="Arial"/>
          <w:szCs w:val="24"/>
        </w:rPr>
        <w:t xml:space="preserve">Contact the RO who will assist in submitting the declaration to the Office of Product Safety and Standards using the European web-portal DECLARE. (An alternative DECLARE system will be put in place for EU Exit.)  </w:t>
      </w:r>
      <w:hyperlink r:id="rId11" w:history="1">
        <w:r w:rsidRPr="0042035C">
          <w:rPr>
            <w:rStyle w:val="Hyperlink"/>
            <w:rFonts w:cs="Arial"/>
            <w:szCs w:val="24"/>
          </w:rPr>
          <w:t>https://www.gov.uk/guidance/abs</w:t>
        </w:r>
      </w:hyperlink>
      <w:r w:rsidRPr="0042035C">
        <w:rPr>
          <w:rFonts w:cs="Arial"/>
          <w:szCs w:val="24"/>
        </w:rPr>
        <w:t xml:space="preserve"> </w:t>
      </w:r>
    </w:p>
    <w:p w14:paraId="24C7243C" w14:textId="399E343B" w:rsidR="00AD3AC4" w:rsidRDefault="0042035C" w:rsidP="00C80C20">
      <w:pPr>
        <w:pStyle w:val="Heading2"/>
        <w:numPr>
          <w:ilvl w:val="0"/>
          <w:numId w:val="17"/>
        </w:numPr>
      </w:pPr>
      <w:bookmarkStart w:id="22" w:name="_Toc48120294"/>
      <w:r>
        <w:t>Record Keeping &amp; Transfer</w:t>
      </w:r>
      <w:bookmarkEnd w:id="22"/>
    </w:p>
    <w:p w14:paraId="012CA0D8" w14:textId="77777777" w:rsidR="0042035C" w:rsidRPr="0042035C" w:rsidRDefault="0042035C" w:rsidP="0042035C">
      <w:pPr>
        <w:jc w:val="both"/>
        <w:rPr>
          <w:rFonts w:cs="Arial"/>
          <w:szCs w:val="24"/>
        </w:rPr>
      </w:pPr>
      <w:r w:rsidRPr="0042035C">
        <w:rPr>
          <w:rFonts w:cs="Arial"/>
          <w:szCs w:val="24"/>
        </w:rPr>
        <w:t xml:space="preserve">Due Diligence records must be stored for 20 years after the end of utilisation. </w:t>
      </w:r>
    </w:p>
    <w:p w14:paraId="06C5CF51" w14:textId="73F31253" w:rsidR="00AD3AC4" w:rsidRDefault="00C80C20" w:rsidP="00C91FDD">
      <w:pPr>
        <w:pStyle w:val="Heading3"/>
      </w:pPr>
      <w:bookmarkStart w:id="23" w:name="_Toc48120295"/>
      <w:r>
        <w:t>4</w:t>
      </w:r>
      <w:r w:rsidR="00C91FDD">
        <w:t>.1</w:t>
      </w:r>
      <w:r w:rsidR="00C91FDD">
        <w:tab/>
      </w:r>
      <w:r w:rsidR="0042035C">
        <w:t>Required Records</w:t>
      </w:r>
      <w:bookmarkEnd w:id="23"/>
    </w:p>
    <w:p w14:paraId="53BBB31D" w14:textId="30BE4E26" w:rsidR="00587915" w:rsidRPr="005447B4" w:rsidRDefault="00587915" w:rsidP="00587915">
      <w:pPr>
        <w:spacing w:line="360" w:lineRule="auto"/>
        <w:jc w:val="both"/>
        <w:rPr>
          <w:rFonts w:cs="Arial"/>
          <w:szCs w:val="24"/>
        </w:rPr>
      </w:pPr>
      <w:r w:rsidRPr="005447B4">
        <w:rPr>
          <w:rFonts w:cs="Arial"/>
          <w:szCs w:val="24"/>
        </w:rPr>
        <w:t>What information do we need to keep?</w:t>
      </w:r>
    </w:p>
    <w:p w14:paraId="36C8D492" w14:textId="5B78C702"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Description of the GR</w:t>
      </w:r>
    </w:p>
    <w:p w14:paraId="518FA540" w14:textId="01004AD3"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 xml:space="preserve">Details of any </w:t>
      </w:r>
      <w:proofErr w:type="spellStart"/>
      <w:r w:rsidRPr="005447B4">
        <w:rPr>
          <w:rFonts w:cs="Arial"/>
          <w:szCs w:val="24"/>
        </w:rPr>
        <w:t>aTK</w:t>
      </w:r>
      <w:proofErr w:type="spellEnd"/>
    </w:p>
    <w:p w14:paraId="0EC37BA5" w14:textId="410BEC01"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Name and registration code of the relevant EU Registered Collection (if applicable)</w:t>
      </w:r>
    </w:p>
    <w:p w14:paraId="7C6B11EC" w14:textId="0169A803"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Due Diligence completed e.g. any correspondence or evidence done to determine whether the GR is within the scope of the Protocol and what further requirements are necessary</w:t>
      </w:r>
    </w:p>
    <w:p w14:paraId="329B98A6" w14:textId="4D5F2473"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A copy of the IRCC (if provided)</w:t>
      </w:r>
    </w:p>
    <w:p w14:paraId="163BF358" w14:textId="77777777" w:rsidR="00587915" w:rsidRPr="005447B4" w:rsidRDefault="00587915" w:rsidP="00587915">
      <w:pPr>
        <w:pStyle w:val="ListParagraph"/>
        <w:numPr>
          <w:ilvl w:val="0"/>
          <w:numId w:val="30"/>
        </w:numPr>
        <w:suppressAutoHyphens/>
        <w:autoSpaceDN w:val="0"/>
        <w:spacing w:after="160"/>
        <w:contextualSpacing w:val="0"/>
        <w:jc w:val="both"/>
        <w:textAlignment w:val="baseline"/>
        <w:rPr>
          <w:rFonts w:cs="Arial"/>
          <w:szCs w:val="24"/>
        </w:rPr>
      </w:pPr>
      <w:r w:rsidRPr="005447B4">
        <w:rPr>
          <w:rFonts w:cs="Arial"/>
          <w:szCs w:val="24"/>
        </w:rPr>
        <w:t xml:space="preserve">Alternative compliance information: </w:t>
      </w:r>
    </w:p>
    <w:p w14:paraId="14F3450C" w14:textId="46FE5DF2" w:rsidR="00587915" w:rsidRPr="005447B4" w:rsidRDefault="00587915" w:rsidP="00587915">
      <w:pPr>
        <w:pStyle w:val="ListParagraph"/>
        <w:numPr>
          <w:ilvl w:val="0"/>
          <w:numId w:val="31"/>
        </w:numPr>
        <w:suppressAutoHyphens/>
        <w:autoSpaceDN w:val="0"/>
        <w:spacing w:after="160"/>
        <w:contextualSpacing w:val="0"/>
        <w:jc w:val="both"/>
        <w:textAlignment w:val="baseline"/>
        <w:rPr>
          <w:rFonts w:cs="Arial"/>
          <w:szCs w:val="24"/>
        </w:rPr>
      </w:pPr>
      <w:r w:rsidRPr="005447B4">
        <w:rPr>
          <w:rFonts w:cs="Arial"/>
          <w:szCs w:val="24"/>
        </w:rPr>
        <w:t xml:space="preserve">Date of access of GR or </w:t>
      </w:r>
      <w:proofErr w:type="spellStart"/>
      <w:r w:rsidRPr="005447B4">
        <w:rPr>
          <w:rFonts w:cs="Arial"/>
          <w:szCs w:val="24"/>
        </w:rPr>
        <w:t>aTK</w:t>
      </w:r>
      <w:proofErr w:type="spellEnd"/>
    </w:p>
    <w:p w14:paraId="53AC9B2D" w14:textId="2766ED46" w:rsidR="00587915" w:rsidRPr="005447B4" w:rsidRDefault="00587915" w:rsidP="00587915">
      <w:pPr>
        <w:pStyle w:val="ListParagraph"/>
        <w:numPr>
          <w:ilvl w:val="0"/>
          <w:numId w:val="31"/>
        </w:numPr>
        <w:suppressAutoHyphens/>
        <w:autoSpaceDN w:val="0"/>
        <w:spacing w:after="160"/>
        <w:contextualSpacing w:val="0"/>
        <w:jc w:val="both"/>
        <w:textAlignment w:val="baseline"/>
        <w:rPr>
          <w:rFonts w:cs="Arial"/>
          <w:szCs w:val="24"/>
        </w:rPr>
      </w:pPr>
      <w:r w:rsidRPr="005447B4">
        <w:rPr>
          <w:rFonts w:cs="Arial"/>
          <w:szCs w:val="24"/>
        </w:rPr>
        <w:t xml:space="preserve">Place of access of GR or </w:t>
      </w:r>
      <w:proofErr w:type="spellStart"/>
      <w:r w:rsidRPr="005447B4">
        <w:rPr>
          <w:rFonts w:cs="Arial"/>
          <w:szCs w:val="24"/>
        </w:rPr>
        <w:t>aTK</w:t>
      </w:r>
      <w:proofErr w:type="spellEnd"/>
    </w:p>
    <w:p w14:paraId="1FC9E192" w14:textId="32A96089" w:rsidR="00587915" w:rsidRPr="005447B4" w:rsidRDefault="00587915" w:rsidP="00587915">
      <w:pPr>
        <w:pStyle w:val="ListParagraph"/>
        <w:numPr>
          <w:ilvl w:val="0"/>
          <w:numId w:val="31"/>
        </w:numPr>
        <w:suppressAutoHyphens/>
        <w:autoSpaceDN w:val="0"/>
        <w:spacing w:after="160"/>
        <w:contextualSpacing w:val="0"/>
        <w:jc w:val="both"/>
        <w:textAlignment w:val="baseline"/>
        <w:rPr>
          <w:rFonts w:cs="Arial"/>
          <w:szCs w:val="24"/>
        </w:rPr>
      </w:pPr>
      <w:r w:rsidRPr="005447B4">
        <w:rPr>
          <w:rFonts w:cs="Arial"/>
          <w:szCs w:val="24"/>
        </w:rPr>
        <w:t>Source of access – providing names and addresses where applicable</w:t>
      </w:r>
    </w:p>
    <w:p w14:paraId="1EDF57D0" w14:textId="26E933E6" w:rsidR="00587915" w:rsidRPr="005447B4" w:rsidRDefault="00587915" w:rsidP="00587915">
      <w:pPr>
        <w:pStyle w:val="ListParagraph"/>
        <w:numPr>
          <w:ilvl w:val="0"/>
          <w:numId w:val="31"/>
        </w:numPr>
        <w:suppressAutoHyphens/>
        <w:autoSpaceDN w:val="0"/>
        <w:spacing w:after="160"/>
        <w:contextualSpacing w:val="0"/>
        <w:jc w:val="both"/>
        <w:textAlignment w:val="baseline"/>
        <w:rPr>
          <w:rFonts w:cs="Arial"/>
          <w:szCs w:val="24"/>
        </w:rPr>
      </w:pPr>
      <w:r w:rsidRPr="005447B4">
        <w:rPr>
          <w:rFonts w:cs="Arial"/>
          <w:szCs w:val="24"/>
        </w:rPr>
        <w:t>Whether material rights and obligations exist relating to ABS, including for subsequent applications and commercialisation (including copies of PICs and MATs)</w:t>
      </w:r>
    </w:p>
    <w:p w14:paraId="79387BC2" w14:textId="77777777" w:rsidR="00587915" w:rsidRPr="005447B4" w:rsidRDefault="00587915" w:rsidP="00587915">
      <w:pPr>
        <w:pStyle w:val="ListParagraph"/>
        <w:numPr>
          <w:ilvl w:val="0"/>
          <w:numId w:val="31"/>
        </w:numPr>
        <w:suppressAutoHyphens/>
        <w:autoSpaceDN w:val="0"/>
        <w:spacing w:after="160"/>
        <w:contextualSpacing w:val="0"/>
        <w:jc w:val="both"/>
        <w:textAlignment w:val="baseline"/>
        <w:rPr>
          <w:rFonts w:cs="Arial"/>
          <w:szCs w:val="24"/>
        </w:rPr>
      </w:pPr>
      <w:r w:rsidRPr="005447B4">
        <w:rPr>
          <w:rFonts w:cs="Arial"/>
          <w:szCs w:val="24"/>
        </w:rPr>
        <w:t>Details of person who granted PIC and person to whom prior informed consent was granted (if not given directly to EHU).</w:t>
      </w:r>
    </w:p>
    <w:p w14:paraId="4F12E5F9" w14:textId="77777777" w:rsidR="00587915" w:rsidRPr="00587915" w:rsidRDefault="00587915" w:rsidP="00587915"/>
    <w:p w14:paraId="667B3D86" w14:textId="77777777" w:rsidR="00C625B0" w:rsidRDefault="000D23AF" w:rsidP="00351BCA">
      <w:pPr>
        <w:pStyle w:val="Heading1"/>
      </w:pPr>
      <w:bookmarkStart w:id="24" w:name="_Toc48120296"/>
      <w:proofErr w:type="spellStart"/>
      <w:r w:rsidRPr="000D23AF">
        <w:lastRenderedPageBreak/>
        <w:t>Endmatter</w:t>
      </w:r>
      <w:bookmarkEnd w:id="24"/>
      <w:proofErr w:type="spellEnd"/>
    </w:p>
    <w:p w14:paraId="20F43CC3" w14:textId="77777777" w:rsidR="006A5B50" w:rsidRPr="006A5B50" w:rsidRDefault="006A5B50" w:rsidP="006A5B50"/>
    <w:tbl>
      <w:tblPr>
        <w:tblStyle w:val="TableGrid"/>
        <w:tblW w:w="0" w:type="auto"/>
        <w:tblLook w:val="04A0" w:firstRow="1" w:lastRow="0" w:firstColumn="1" w:lastColumn="0" w:noHBand="0" w:noVBand="1"/>
      </w:tblPr>
      <w:tblGrid>
        <w:gridCol w:w="2753"/>
        <w:gridCol w:w="6263"/>
      </w:tblGrid>
      <w:tr w:rsidR="000D23AF" w14:paraId="33184DF9" w14:textId="77777777" w:rsidTr="69E77BE1">
        <w:tc>
          <w:tcPr>
            <w:tcW w:w="2808" w:type="dxa"/>
          </w:tcPr>
          <w:p w14:paraId="54CBBAB6" w14:textId="77777777" w:rsidR="000D23AF" w:rsidRDefault="000D23AF" w:rsidP="00CC04D9">
            <w:r>
              <w:t>Title</w:t>
            </w:r>
          </w:p>
        </w:tc>
        <w:tc>
          <w:tcPr>
            <w:tcW w:w="6434" w:type="dxa"/>
          </w:tcPr>
          <w:p w14:paraId="15485260" w14:textId="77777777" w:rsidR="00587915" w:rsidRPr="00587915" w:rsidRDefault="00587915" w:rsidP="00587915">
            <w:pPr>
              <w:rPr>
                <w:bCs/>
              </w:rPr>
            </w:pPr>
            <w:r w:rsidRPr="00587915">
              <w:rPr>
                <w:bCs/>
              </w:rPr>
              <w:t>The Nagoya Protocol – Guidance for Researchers</w:t>
            </w:r>
          </w:p>
          <w:p w14:paraId="26C6C8F6" w14:textId="128CE693" w:rsidR="000D23AF" w:rsidRDefault="00587915" w:rsidP="00587915">
            <w:r w:rsidRPr="00587915">
              <w:t>(EHU)</w:t>
            </w:r>
          </w:p>
        </w:tc>
      </w:tr>
      <w:tr w:rsidR="000D23AF" w14:paraId="5E2770FF" w14:textId="77777777" w:rsidTr="69E77BE1">
        <w:tc>
          <w:tcPr>
            <w:tcW w:w="2808" w:type="dxa"/>
          </w:tcPr>
          <w:p w14:paraId="467423AC" w14:textId="77777777" w:rsidR="000D23AF" w:rsidRDefault="00683E10" w:rsidP="00CC04D9">
            <w:r>
              <w:t xml:space="preserve">Policy </w:t>
            </w:r>
            <w:r w:rsidR="000D23AF">
              <w:t>Owner</w:t>
            </w:r>
          </w:p>
        </w:tc>
        <w:tc>
          <w:tcPr>
            <w:tcW w:w="6434" w:type="dxa"/>
          </w:tcPr>
          <w:p w14:paraId="70894BA2" w14:textId="64765858" w:rsidR="000D23AF" w:rsidRDefault="69E77BE1" w:rsidP="00CC04D9">
            <w:r>
              <w:t>Chris Hughes, Head of Research Support</w:t>
            </w:r>
          </w:p>
        </w:tc>
      </w:tr>
      <w:tr w:rsidR="000D23AF" w14:paraId="710094AD" w14:textId="77777777" w:rsidTr="69E77BE1">
        <w:tc>
          <w:tcPr>
            <w:tcW w:w="2808" w:type="dxa"/>
          </w:tcPr>
          <w:p w14:paraId="2A26DD40" w14:textId="77777777" w:rsidR="000D23AF" w:rsidRDefault="000D23AF" w:rsidP="00CC04D9">
            <w:r>
              <w:t>Approved by</w:t>
            </w:r>
          </w:p>
        </w:tc>
        <w:tc>
          <w:tcPr>
            <w:tcW w:w="6434" w:type="dxa"/>
          </w:tcPr>
          <w:p w14:paraId="3002A855" w14:textId="5D548AEA" w:rsidR="000D23AF" w:rsidRDefault="69E77BE1" w:rsidP="69E77BE1">
            <w:pPr>
              <w:spacing w:after="200" w:line="276" w:lineRule="auto"/>
            </w:pPr>
            <w:r>
              <w:t>Chris Hughes, Head of Research Support</w:t>
            </w:r>
          </w:p>
        </w:tc>
      </w:tr>
      <w:tr w:rsidR="000D23AF" w14:paraId="3EE61A06" w14:textId="77777777" w:rsidTr="69E77BE1">
        <w:tc>
          <w:tcPr>
            <w:tcW w:w="2808" w:type="dxa"/>
          </w:tcPr>
          <w:p w14:paraId="3E549BD8" w14:textId="77777777" w:rsidR="000D23AF" w:rsidRDefault="000D23AF" w:rsidP="00683E10">
            <w:r>
              <w:t xml:space="preserve">Date of </w:t>
            </w:r>
            <w:r w:rsidR="00683E10">
              <w:t>Approval</w:t>
            </w:r>
          </w:p>
        </w:tc>
        <w:tc>
          <w:tcPr>
            <w:tcW w:w="6434" w:type="dxa"/>
          </w:tcPr>
          <w:p w14:paraId="4EEB95FE" w14:textId="29A29898" w:rsidR="000D23AF" w:rsidRDefault="69E77BE1" w:rsidP="69E77BE1">
            <w:pPr>
              <w:spacing w:after="200" w:line="276" w:lineRule="auto"/>
            </w:pPr>
            <w:r>
              <w:t>July 2019</w:t>
            </w:r>
          </w:p>
        </w:tc>
      </w:tr>
      <w:tr w:rsidR="000D23AF" w14:paraId="5E937384" w14:textId="77777777" w:rsidTr="69E77BE1">
        <w:tc>
          <w:tcPr>
            <w:tcW w:w="2808" w:type="dxa"/>
          </w:tcPr>
          <w:p w14:paraId="1C812F79" w14:textId="77777777" w:rsidR="000D23AF" w:rsidRDefault="69E77BE1" w:rsidP="00CC04D9">
            <w:r>
              <w:t xml:space="preserve">Date for Review </w:t>
            </w:r>
          </w:p>
        </w:tc>
        <w:tc>
          <w:tcPr>
            <w:tcW w:w="6434" w:type="dxa"/>
          </w:tcPr>
          <w:p w14:paraId="2306FFE3" w14:textId="54FAD5A5" w:rsidR="000D23AF" w:rsidRDefault="69E77BE1" w:rsidP="00CC04D9">
            <w:r>
              <w:t>July 2021</w:t>
            </w:r>
          </w:p>
        </w:tc>
      </w:tr>
    </w:tbl>
    <w:p w14:paraId="59C376CD" w14:textId="77777777" w:rsidR="00C625B0" w:rsidRDefault="00C625B0" w:rsidP="006A5B50"/>
    <w:sectPr w:rsidR="00C625B0" w:rsidSect="006A5B50">
      <w:footerReference w:type="default" r:id="rId12"/>
      <w:footerReference w:type="first" r:id="rId13"/>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F27E" w14:textId="77777777" w:rsidR="00C83614" w:rsidRDefault="00C83614" w:rsidP="006A5B50">
      <w:pPr>
        <w:spacing w:after="0" w:line="240" w:lineRule="auto"/>
      </w:pPr>
      <w:r>
        <w:separator/>
      </w:r>
    </w:p>
  </w:endnote>
  <w:endnote w:type="continuationSeparator" w:id="0">
    <w:p w14:paraId="1D3B9B8E" w14:textId="77777777" w:rsidR="00C83614" w:rsidRDefault="00C83614"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115958"/>
      <w:docPartObj>
        <w:docPartGallery w:val="Page Numbers (Bottom of Page)"/>
        <w:docPartUnique/>
      </w:docPartObj>
    </w:sdtPr>
    <w:sdtEndPr>
      <w:rPr>
        <w:noProof/>
      </w:rPr>
    </w:sdtEndPr>
    <w:sdtContent>
      <w:p w14:paraId="2090E3B0" w14:textId="77777777" w:rsidR="00C83614" w:rsidRDefault="00C8361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7B95F3" w14:textId="77777777" w:rsidR="00C83614" w:rsidRDefault="00C83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2F43" w14:textId="77777777" w:rsidR="00C83614" w:rsidRDefault="00C83614" w:rsidP="007F06C7">
    <w:pPr>
      <w:pStyle w:val="Footer"/>
      <w:tabs>
        <w:tab w:val="clear" w:pos="4513"/>
        <w:tab w:val="clear" w:pos="9026"/>
        <w:tab w:val="left" w:pos="1155"/>
      </w:tabs>
      <w:jc w:val="right"/>
    </w:pPr>
    <w:r>
      <w:tab/>
    </w:r>
    <w:r>
      <w:rPr>
        <w:noProof/>
        <w:lang w:eastAsia="en-GB"/>
      </w:rPr>
      <w:drawing>
        <wp:inline distT="0" distB="0" distL="0" distR="0" wp14:anchorId="31F130BB" wp14:editId="3E6BCDBE">
          <wp:extent cx="1832968" cy="2382493"/>
          <wp:effectExtent l="0" t="0" r="0" b="0"/>
          <wp:docPr id="3" name="Picture 3" descr="Edge Hill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47E2" w14:textId="77777777" w:rsidR="00C83614" w:rsidRDefault="00C83614" w:rsidP="006A5B50">
      <w:pPr>
        <w:spacing w:after="0" w:line="240" w:lineRule="auto"/>
      </w:pPr>
      <w:r>
        <w:separator/>
      </w:r>
    </w:p>
  </w:footnote>
  <w:footnote w:type="continuationSeparator" w:id="0">
    <w:p w14:paraId="11D51489" w14:textId="77777777" w:rsidR="00C83614" w:rsidRDefault="00C83614"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936FE"/>
    <w:multiLevelType w:val="hybridMultilevel"/>
    <w:tmpl w:val="DEA02068"/>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907A4"/>
    <w:multiLevelType w:val="hybridMultilevel"/>
    <w:tmpl w:val="9FD6767A"/>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4901"/>
    <w:multiLevelType w:val="hybridMultilevel"/>
    <w:tmpl w:val="E0DACFDE"/>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F1270"/>
    <w:multiLevelType w:val="hybridMultilevel"/>
    <w:tmpl w:val="2C24C4B2"/>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C4EED"/>
    <w:multiLevelType w:val="multilevel"/>
    <w:tmpl w:val="5E92880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D041AF"/>
    <w:multiLevelType w:val="hybridMultilevel"/>
    <w:tmpl w:val="3F9230BC"/>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95751"/>
    <w:multiLevelType w:val="hybridMultilevel"/>
    <w:tmpl w:val="F760C828"/>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27FAB"/>
    <w:multiLevelType w:val="hybridMultilevel"/>
    <w:tmpl w:val="449A5538"/>
    <w:lvl w:ilvl="0" w:tplc="5432622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6B47"/>
    <w:multiLevelType w:val="multilevel"/>
    <w:tmpl w:val="3AB49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9022D1"/>
    <w:multiLevelType w:val="hybridMultilevel"/>
    <w:tmpl w:val="C928A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E37B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1223A"/>
    <w:multiLevelType w:val="multilevel"/>
    <w:tmpl w:val="5D8094C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941704E"/>
    <w:multiLevelType w:val="multilevel"/>
    <w:tmpl w:val="5E92880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C03E8A"/>
    <w:multiLevelType w:val="multilevel"/>
    <w:tmpl w:val="0EB45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30E58"/>
    <w:multiLevelType w:val="hybridMultilevel"/>
    <w:tmpl w:val="0236186E"/>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F3FB9"/>
    <w:multiLevelType w:val="hybridMultilevel"/>
    <w:tmpl w:val="A25C4594"/>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525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8085E"/>
    <w:multiLevelType w:val="hybridMultilevel"/>
    <w:tmpl w:val="37C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880"/>
    <w:multiLevelType w:val="hybridMultilevel"/>
    <w:tmpl w:val="188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951A1"/>
    <w:multiLevelType w:val="multilevel"/>
    <w:tmpl w:val="934C5BA8"/>
    <w:lvl w:ilvl="0">
      <w:numFmt w:val="bullet"/>
      <w:lvlText w:val="-"/>
      <w:lvlJc w:val="left"/>
      <w:pPr>
        <w:ind w:left="1080" w:hanging="360"/>
      </w:pPr>
      <w:rPr>
        <w:rFonts w:ascii="Arial Narrow" w:eastAsia="Calibri" w:hAnsi="Arial Narrow"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A87BDA"/>
    <w:multiLevelType w:val="hybridMultilevel"/>
    <w:tmpl w:val="E1F63BC6"/>
    <w:lvl w:ilvl="0" w:tplc="54326220">
      <w:numFmt w:val="bullet"/>
      <w:lvlText w:val="•"/>
      <w:lvlJc w:val="left"/>
      <w:pPr>
        <w:ind w:left="1080" w:hanging="720"/>
      </w:pPr>
      <w:rPr>
        <w:rFonts w:ascii="Arial" w:eastAsiaTheme="minorHAnsi" w:hAnsi="Arial" w:cs="Arial" w:hint="default"/>
      </w:rPr>
    </w:lvl>
    <w:lvl w:ilvl="1" w:tplc="A41C61D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123E5"/>
    <w:multiLevelType w:val="hybridMultilevel"/>
    <w:tmpl w:val="8B189F96"/>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F4CB4"/>
    <w:multiLevelType w:val="multilevel"/>
    <w:tmpl w:val="996A1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0345B2"/>
    <w:multiLevelType w:val="hybridMultilevel"/>
    <w:tmpl w:val="06F8D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34645"/>
    <w:multiLevelType w:val="multilevel"/>
    <w:tmpl w:val="026AE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94A0085"/>
    <w:multiLevelType w:val="multilevel"/>
    <w:tmpl w:val="4CEC71A2"/>
    <w:lvl w:ilvl="0">
      <w:numFmt w:val="bullet"/>
      <w:lvlText w:val="-"/>
      <w:lvlJc w:val="left"/>
      <w:pPr>
        <w:ind w:left="720" w:hanging="360"/>
      </w:pPr>
      <w:rPr>
        <w:rFonts w:ascii="Arial Narrow" w:eastAsia="Calibri" w:hAnsi="Arial Narrow"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4B22A83"/>
    <w:multiLevelType w:val="multilevel"/>
    <w:tmpl w:val="60122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C3075D"/>
    <w:multiLevelType w:val="multilevel"/>
    <w:tmpl w:val="6CE04F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26"/>
  </w:num>
  <w:num w:numId="4">
    <w:abstractNumId w:val="19"/>
  </w:num>
  <w:num w:numId="5">
    <w:abstractNumId w:val="21"/>
  </w:num>
  <w:num w:numId="6">
    <w:abstractNumId w:val="22"/>
  </w:num>
  <w:num w:numId="7">
    <w:abstractNumId w:val="8"/>
  </w:num>
  <w:num w:numId="8">
    <w:abstractNumId w:val="9"/>
  </w:num>
  <w:num w:numId="9">
    <w:abstractNumId w:val="16"/>
  </w:num>
  <w:num w:numId="10">
    <w:abstractNumId w:val="4"/>
  </w:num>
  <w:num w:numId="11">
    <w:abstractNumId w:val="2"/>
  </w:num>
  <w:num w:numId="12">
    <w:abstractNumId w:val="3"/>
  </w:num>
  <w:num w:numId="13">
    <w:abstractNumId w:val="15"/>
  </w:num>
  <w:num w:numId="14">
    <w:abstractNumId w:val="1"/>
  </w:num>
  <w:num w:numId="15">
    <w:abstractNumId w:val="6"/>
  </w:num>
  <w:num w:numId="16">
    <w:abstractNumId w:val="7"/>
  </w:num>
  <w:num w:numId="17">
    <w:abstractNumId w:val="12"/>
  </w:num>
  <w:num w:numId="18">
    <w:abstractNumId w:val="24"/>
  </w:num>
  <w:num w:numId="19">
    <w:abstractNumId w:val="17"/>
  </w:num>
  <w:num w:numId="20">
    <w:abstractNumId w:val="11"/>
  </w:num>
  <w:num w:numId="21">
    <w:abstractNumId w:val="10"/>
  </w:num>
  <w:num w:numId="22">
    <w:abstractNumId w:val="28"/>
  </w:num>
  <w:num w:numId="23">
    <w:abstractNumId w:val="25"/>
  </w:num>
  <w:num w:numId="24">
    <w:abstractNumId w:val="18"/>
  </w:num>
  <w:num w:numId="25">
    <w:abstractNumId w:val="30"/>
  </w:num>
  <w:num w:numId="26">
    <w:abstractNumId w:val="5"/>
  </w:num>
  <w:num w:numId="27">
    <w:abstractNumId w:val="14"/>
  </w:num>
  <w:num w:numId="28">
    <w:abstractNumId w:val="27"/>
  </w:num>
  <w:num w:numId="29">
    <w:abstractNumId w:val="13"/>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111BC"/>
    <w:rsid w:val="000745FB"/>
    <w:rsid w:val="000879BD"/>
    <w:rsid w:val="000D23AF"/>
    <w:rsid w:val="000D3D30"/>
    <w:rsid w:val="000F3143"/>
    <w:rsid w:val="001005E0"/>
    <w:rsid w:val="0011421B"/>
    <w:rsid w:val="001154A4"/>
    <w:rsid w:val="001722B8"/>
    <w:rsid w:val="0024466A"/>
    <w:rsid w:val="0029043F"/>
    <w:rsid w:val="002C28E2"/>
    <w:rsid w:val="002F3845"/>
    <w:rsid w:val="00313808"/>
    <w:rsid w:val="00351BCA"/>
    <w:rsid w:val="003C2CA4"/>
    <w:rsid w:val="003D05B2"/>
    <w:rsid w:val="003D7C7F"/>
    <w:rsid w:val="004008E9"/>
    <w:rsid w:val="0042035C"/>
    <w:rsid w:val="00433B62"/>
    <w:rsid w:val="004F68EC"/>
    <w:rsid w:val="0054561B"/>
    <w:rsid w:val="00576627"/>
    <w:rsid w:val="00576FDD"/>
    <w:rsid w:val="00581D0A"/>
    <w:rsid w:val="00587915"/>
    <w:rsid w:val="0059690C"/>
    <w:rsid w:val="005C1D02"/>
    <w:rsid w:val="006273D8"/>
    <w:rsid w:val="00660C7C"/>
    <w:rsid w:val="00683E10"/>
    <w:rsid w:val="006A5B50"/>
    <w:rsid w:val="006B075E"/>
    <w:rsid w:val="006D08ED"/>
    <w:rsid w:val="006F3C7E"/>
    <w:rsid w:val="00722685"/>
    <w:rsid w:val="00733AC5"/>
    <w:rsid w:val="00745DC4"/>
    <w:rsid w:val="00762C18"/>
    <w:rsid w:val="007D70AB"/>
    <w:rsid w:val="007F06C7"/>
    <w:rsid w:val="007F513E"/>
    <w:rsid w:val="0080281A"/>
    <w:rsid w:val="00805BA4"/>
    <w:rsid w:val="00816CAE"/>
    <w:rsid w:val="00844B56"/>
    <w:rsid w:val="008467B5"/>
    <w:rsid w:val="00886128"/>
    <w:rsid w:val="008F1BE9"/>
    <w:rsid w:val="00971F84"/>
    <w:rsid w:val="00A000BC"/>
    <w:rsid w:val="00A1551C"/>
    <w:rsid w:val="00A73C4D"/>
    <w:rsid w:val="00A93379"/>
    <w:rsid w:val="00AA6CAA"/>
    <w:rsid w:val="00AD3AC4"/>
    <w:rsid w:val="00AD3E0A"/>
    <w:rsid w:val="00B44135"/>
    <w:rsid w:val="00B72EE1"/>
    <w:rsid w:val="00B86B25"/>
    <w:rsid w:val="00C06794"/>
    <w:rsid w:val="00C2739B"/>
    <w:rsid w:val="00C625B0"/>
    <w:rsid w:val="00C71972"/>
    <w:rsid w:val="00C80C20"/>
    <w:rsid w:val="00C83614"/>
    <w:rsid w:val="00C91FDD"/>
    <w:rsid w:val="00CB4418"/>
    <w:rsid w:val="00CC04D9"/>
    <w:rsid w:val="00CC6683"/>
    <w:rsid w:val="00CD23F0"/>
    <w:rsid w:val="00CE42D1"/>
    <w:rsid w:val="00CF75EE"/>
    <w:rsid w:val="00D41CE1"/>
    <w:rsid w:val="00D84925"/>
    <w:rsid w:val="00D84C7A"/>
    <w:rsid w:val="00D872A1"/>
    <w:rsid w:val="00D95974"/>
    <w:rsid w:val="00DC3DD0"/>
    <w:rsid w:val="00DE73C8"/>
    <w:rsid w:val="00E21F75"/>
    <w:rsid w:val="00E5137F"/>
    <w:rsid w:val="00E53A1A"/>
    <w:rsid w:val="00EF57F1"/>
    <w:rsid w:val="00F00A5C"/>
    <w:rsid w:val="00F204C6"/>
    <w:rsid w:val="00F320D7"/>
    <w:rsid w:val="00F54731"/>
    <w:rsid w:val="00F7089B"/>
    <w:rsid w:val="69E7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27DF5"/>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C91FDD"/>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C91FDD"/>
    <w:rPr>
      <w:rFonts w:asciiTheme="majorHAnsi" w:eastAsiaTheme="majorEastAsia" w:hAnsiTheme="majorHAnsi" w:cstheme="majorBidi"/>
      <w:color w:val="3F003F" w:themeColor="accent1" w:themeShade="7F"/>
      <w:sz w:val="24"/>
      <w:szCs w:val="24"/>
    </w:rPr>
  </w:style>
  <w:style w:type="paragraph" w:styleId="TOC3">
    <w:name w:val="toc 3"/>
    <w:basedOn w:val="Normal"/>
    <w:next w:val="Normal"/>
    <w:autoRedefine/>
    <w:uiPriority w:val="39"/>
    <w:unhideWhenUsed/>
    <w:rsid w:val="00C80C20"/>
    <w:pPr>
      <w:spacing w:after="100"/>
      <w:ind w:left="480"/>
    </w:pPr>
  </w:style>
  <w:style w:type="character" w:styleId="UnresolvedMention">
    <w:name w:val="Unresolved Mention"/>
    <w:basedOn w:val="DefaultParagraphFont"/>
    <w:uiPriority w:val="99"/>
    <w:semiHidden/>
    <w:unhideWhenUsed/>
    <w:rsid w:val="008467B5"/>
    <w:rPr>
      <w:color w:val="808080"/>
      <w:shd w:val="clear" w:color="auto" w:fill="E6E6E6"/>
    </w:rPr>
  </w:style>
  <w:style w:type="character" w:styleId="CommentReference">
    <w:name w:val="annotation reference"/>
    <w:basedOn w:val="DefaultParagraphFont"/>
    <w:uiPriority w:val="99"/>
    <w:semiHidden/>
    <w:unhideWhenUsed/>
    <w:rsid w:val="00844B56"/>
    <w:rPr>
      <w:sz w:val="16"/>
      <w:szCs w:val="16"/>
    </w:rPr>
  </w:style>
  <w:style w:type="paragraph" w:styleId="CommentText">
    <w:name w:val="annotation text"/>
    <w:basedOn w:val="Normal"/>
    <w:link w:val="CommentTextChar"/>
    <w:uiPriority w:val="99"/>
    <w:semiHidden/>
    <w:unhideWhenUsed/>
    <w:rsid w:val="00844B56"/>
    <w:pPr>
      <w:spacing w:line="240" w:lineRule="auto"/>
    </w:pPr>
    <w:rPr>
      <w:sz w:val="20"/>
      <w:szCs w:val="20"/>
    </w:rPr>
  </w:style>
  <w:style w:type="character" w:customStyle="1" w:styleId="CommentTextChar">
    <w:name w:val="Comment Text Char"/>
    <w:basedOn w:val="DefaultParagraphFont"/>
    <w:link w:val="CommentText"/>
    <w:uiPriority w:val="99"/>
    <w:semiHidden/>
    <w:rsid w:val="00844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4B56"/>
    <w:rPr>
      <w:b/>
      <w:bCs/>
    </w:rPr>
  </w:style>
  <w:style w:type="character" w:customStyle="1" w:styleId="CommentSubjectChar">
    <w:name w:val="Comment Subject Char"/>
    <w:basedOn w:val="CommentTextChar"/>
    <w:link w:val="CommentSubject"/>
    <w:uiPriority w:val="99"/>
    <w:semiHidden/>
    <w:rsid w:val="00844B56"/>
    <w:rPr>
      <w:rFonts w:ascii="Arial" w:hAnsi="Arial"/>
      <w:b/>
      <w:bCs/>
      <w:sz w:val="20"/>
      <w:szCs w:val="20"/>
    </w:rPr>
  </w:style>
  <w:style w:type="paragraph" w:styleId="BalloonText">
    <w:name w:val="Balloon Text"/>
    <w:basedOn w:val="Normal"/>
    <w:link w:val="BalloonTextChar"/>
    <w:uiPriority w:val="99"/>
    <w:semiHidden/>
    <w:unhideWhenUsed/>
    <w:rsid w:val="00844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56"/>
    <w:rPr>
      <w:rFonts w:ascii="Segoe UI" w:hAnsi="Segoe UI" w:cs="Segoe UI"/>
      <w:sz w:val="18"/>
      <w:szCs w:val="18"/>
    </w:rPr>
  </w:style>
  <w:style w:type="paragraph" w:styleId="Title">
    <w:name w:val="Title"/>
    <w:basedOn w:val="NoSpacing"/>
    <w:next w:val="Normal"/>
    <w:link w:val="TitleChar"/>
    <w:uiPriority w:val="10"/>
    <w:qFormat/>
    <w:rsid w:val="00CB4418"/>
    <w:rPr>
      <w:rFonts w:ascii="Georgia" w:hAnsi="Georgia"/>
      <w:bCs/>
      <w:sz w:val="96"/>
    </w:rPr>
  </w:style>
  <w:style w:type="character" w:customStyle="1" w:styleId="TitleChar">
    <w:name w:val="Title Char"/>
    <w:basedOn w:val="DefaultParagraphFont"/>
    <w:link w:val="Title"/>
    <w:uiPriority w:val="10"/>
    <w:rsid w:val="00CB4418"/>
    <w:rPr>
      <w:rFonts w:ascii="Georgia" w:hAnsi="Georgia"/>
      <w:bCs/>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dgehil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office-for-product-safety-and-standards" TargetMode="External"/><Relationship Id="rId4" Type="http://schemas.openxmlformats.org/officeDocument/2006/relationships/settings" Target="settings.xml"/><Relationship Id="rId9" Type="http://schemas.openxmlformats.org/officeDocument/2006/relationships/hyperlink" Target="https://eur-lex.europa.eu/legal-content/EN/TXT/?uri=CELEX:32014R051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4B79-644D-4213-A762-7497140F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11130</Characters>
  <Application>Microsoft Office Word</Application>
  <DocSecurity>0</DocSecurity>
  <Lines>556</Lines>
  <Paragraphs>117</Paragraphs>
  <ScaleCrop>false</ScaleCrop>
  <Company>Edge Hill University</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Rebecca Wallwork</cp:lastModifiedBy>
  <cp:revision>5</cp:revision>
  <dcterms:created xsi:type="dcterms:W3CDTF">2020-08-06T15:05:00Z</dcterms:created>
  <dcterms:modified xsi:type="dcterms:W3CDTF">2020-08-12T09:24:00Z</dcterms:modified>
</cp:coreProperties>
</file>