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1BE30" w14:textId="77777777" w:rsidR="000562F6" w:rsidRPr="0079232E" w:rsidRDefault="000562F6" w:rsidP="000562F6">
      <w:pPr>
        <w:spacing w:before="100" w:beforeAutospacing="1" w:after="100" w:afterAutospacing="1"/>
        <w:rPr>
          <w:b/>
          <w:bCs/>
          <w:color w:val="39364F"/>
          <w:spacing w:val="4"/>
          <w:sz w:val="32"/>
          <w:szCs w:val="32"/>
          <w:lang w:eastAsia="en-GB"/>
        </w:rPr>
      </w:pPr>
      <w:r>
        <w:rPr>
          <w:b/>
          <w:bCs/>
          <w:color w:val="39364F"/>
          <w:spacing w:val="4"/>
          <w:sz w:val="32"/>
          <w:szCs w:val="32"/>
          <w:lang w:eastAsia="en-GB"/>
        </w:rPr>
        <w:t>Liverpool as a Child Friendly City: A</w:t>
      </w:r>
      <w:r w:rsidRPr="0079232E">
        <w:rPr>
          <w:b/>
          <w:bCs/>
          <w:color w:val="39364F"/>
          <w:spacing w:val="4"/>
          <w:sz w:val="32"/>
          <w:szCs w:val="32"/>
          <w:lang w:eastAsia="en-GB"/>
        </w:rPr>
        <w:t xml:space="preserve">dopting a Child Friendly City approach in practice </w:t>
      </w:r>
    </w:p>
    <w:p w14:paraId="329A32C5" w14:textId="77777777" w:rsidR="000562F6" w:rsidRPr="0079232E" w:rsidRDefault="000562F6" w:rsidP="000562F6">
      <w:pPr>
        <w:spacing w:before="100" w:beforeAutospacing="1" w:after="100" w:afterAutospacing="1"/>
        <w:rPr>
          <w:b/>
          <w:bCs/>
          <w:color w:val="39364F"/>
          <w:spacing w:val="4"/>
          <w:sz w:val="28"/>
          <w:szCs w:val="28"/>
          <w:lang w:eastAsia="en-GB"/>
        </w:rPr>
      </w:pPr>
      <w:r w:rsidRPr="0079232E">
        <w:rPr>
          <w:b/>
          <w:bCs/>
          <w:color w:val="39364F"/>
          <w:spacing w:val="4"/>
          <w:sz w:val="28"/>
          <w:szCs w:val="28"/>
          <w:lang w:eastAsia="en-GB"/>
        </w:rPr>
        <w:t>‘</w:t>
      </w:r>
      <w:r w:rsidRPr="0079232E">
        <w:rPr>
          <w:b/>
          <w:bCs/>
          <w:i/>
          <w:color w:val="39364F"/>
          <w:spacing w:val="4"/>
          <w:sz w:val="28"/>
          <w:szCs w:val="28"/>
          <w:lang w:eastAsia="en-GB"/>
        </w:rPr>
        <w:t>The true character of a society is revealed in how it treats its children’</w:t>
      </w:r>
      <w:r w:rsidRPr="0079232E">
        <w:rPr>
          <w:b/>
          <w:bCs/>
          <w:color w:val="39364F"/>
          <w:spacing w:val="4"/>
          <w:sz w:val="28"/>
          <w:szCs w:val="28"/>
          <w:lang w:eastAsia="en-GB"/>
        </w:rPr>
        <w:t xml:space="preserve"> Nelson Mandela </w:t>
      </w:r>
    </w:p>
    <w:p w14:paraId="609A88CE" w14:textId="77777777" w:rsidR="000562F6" w:rsidRPr="000562F6" w:rsidRDefault="000562F6" w:rsidP="000562F6">
      <w:pPr>
        <w:rPr>
          <w:b/>
          <w:bCs/>
          <w:color w:val="39364F"/>
          <w:spacing w:val="4"/>
          <w:sz w:val="28"/>
          <w:szCs w:val="28"/>
          <w:lang w:eastAsia="en-GB"/>
        </w:rPr>
      </w:pPr>
      <w:r w:rsidRPr="000562F6">
        <w:rPr>
          <w:b/>
          <w:bCs/>
          <w:color w:val="39364F"/>
          <w:spacing w:val="4"/>
          <w:sz w:val="28"/>
          <w:szCs w:val="28"/>
          <w:lang w:eastAsia="en-GB"/>
        </w:rPr>
        <w:t>About this Event</w:t>
      </w:r>
    </w:p>
    <w:p w14:paraId="237F2D7D" w14:textId="7B56E48D" w:rsidR="000562F6" w:rsidRPr="0079232E" w:rsidRDefault="000562F6" w:rsidP="000562F6">
      <w:pPr>
        <w:rPr>
          <w:spacing w:val="8"/>
          <w:sz w:val="24"/>
          <w:szCs w:val="24"/>
          <w:lang w:eastAsia="en-GB"/>
        </w:rPr>
      </w:pPr>
      <w:r w:rsidRPr="0079232E">
        <w:rPr>
          <w:spacing w:val="8"/>
          <w:sz w:val="24"/>
          <w:szCs w:val="24"/>
          <w:lang w:eastAsia="en-GB"/>
        </w:rPr>
        <w:t>On Friday 19</w:t>
      </w:r>
      <w:r w:rsidRPr="0079232E">
        <w:rPr>
          <w:spacing w:val="8"/>
          <w:sz w:val="24"/>
          <w:szCs w:val="24"/>
          <w:vertAlign w:val="superscript"/>
          <w:lang w:eastAsia="en-GB"/>
        </w:rPr>
        <w:t>th</w:t>
      </w:r>
      <w:r w:rsidRPr="0079232E">
        <w:rPr>
          <w:spacing w:val="8"/>
          <w:sz w:val="24"/>
          <w:szCs w:val="24"/>
          <w:lang w:eastAsia="en-GB"/>
        </w:rPr>
        <w:t xml:space="preserve"> November (10am-1pm), the Fac</w:t>
      </w:r>
      <w:r w:rsidR="00F83E8B">
        <w:rPr>
          <w:spacing w:val="8"/>
          <w:sz w:val="24"/>
          <w:szCs w:val="24"/>
          <w:lang w:eastAsia="en-GB"/>
        </w:rPr>
        <w:t>ul</w:t>
      </w:r>
      <w:r w:rsidRPr="0079232E">
        <w:rPr>
          <w:spacing w:val="8"/>
          <w:sz w:val="24"/>
          <w:szCs w:val="24"/>
          <w:lang w:eastAsia="en-GB"/>
        </w:rPr>
        <w:t xml:space="preserve">ty of Education at Edge Hill University will host an online </w:t>
      </w:r>
      <w:r>
        <w:rPr>
          <w:spacing w:val="8"/>
          <w:sz w:val="24"/>
          <w:szCs w:val="24"/>
          <w:lang w:eastAsia="en-GB"/>
        </w:rPr>
        <w:t xml:space="preserve">showcase </w:t>
      </w:r>
      <w:r w:rsidRPr="0079232E">
        <w:rPr>
          <w:spacing w:val="8"/>
          <w:sz w:val="24"/>
          <w:szCs w:val="24"/>
          <w:lang w:eastAsia="en-GB"/>
        </w:rPr>
        <w:t>event</w:t>
      </w:r>
      <w:r>
        <w:rPr>
          <w:spacing w:val="8"/>
          <w:sz w:val="24"/>
          <w:szCs w:val="24"/>
          <w:lang w:eastAsia="en-GB"/>
        </w:rPr>
        <w:t xml:space="preserve">. This will </w:t>
      </w:r>
      <w:r w:rsidRPr="0079232E">
        <w:rPr>
          <w:spacing w:val="8"/>
          <w:sz w:val="24"/>
          <w:szCs w:val="24"/>
          <w:lang w:eastAsia="en-GB"/>
        </w:rPr>
        <w:t xml:space="preserve">highlight a range of research activities taking place at Edge Hill, and at the other universities across the city, which support Liverpool City Council’s (LCC) endeavour to achieve UNICEF Child Friendly City status. </w:t>
      </w:r>
    </w:p>
    <w:p w14:paraId="6100E867" w14:textId="77777777" w:rsidR="000562F6" w:rsidRDefault="000562F6" w:rsidP="000562F6">
      <w:pPr>
        <w:rPr>
          <w:spacing w:val="8"/>
          <w:sz w:val="24"/>
          <w:szCs w:val="24"/>
          <w:lang w:eastAsia="en-GB"/>
        </w:rPr>
      </w:pPr>
      <w:bookmarkStart w:id="0" w:name="_GoBack"/>
      <w:bookmarkEnd w:id="0"/>
    </w:p>
    <w:p w14:paraId="7AE0A902" w14:textId="77777777" w:rsidR="000562F6" w:rsidRPr="0079232E" w:rsidRDefault="000562F6" w:rsidP="000562F6">
      <w:pPr>
        <w:rPr>
          <w:spacing w:val="8"/>
          <w:sz w:val="24"/>
          <w:szCs w:val="24"/>
          <w:lang w:eastAsia="en-GB"/>
        </w:rPr>
      </w:pPr>
      <w:r w:rsidRPr="0079232E">
        <w:rPr>
          <w:spacing w:val="8"/>
          <w:sz w:val="24"/>
          <w:szCs w:val="24"/>
          <w:lang w:eastAsia="en-GB"/>
        </w:rPr>
        <w:t xml:space="preserve">The event provides the opportunity to present, listen to and discuss current research </w:t>
      </w:r>
      <w:r>
        <w:rPr>
          <w:spacing w:val="8"/>
          <w:sz w:val="24"/>
          <w:szCs w:val="24"/>
          <w:lang w:eastAsia="en-GB"/>
        </w:rPr>
        <w:t>aimed at imp</w:t>
      </w:r>
      <w:r w:rsidRPr="0079232E">
        <w:rPr>
          <w:spacing w:val="8"/>
          <w:sz w:val="24"/>
          <w:szCs w:val="24"/>
          <w:lang w:eastAsia="en-GB"/>
        </w:rPr>
        <w:t>rov</w:t>
      </w:r>
      <w:r>
        <w:rPr>
          <w:spacing w:val="8"/>
          <w:sz w:val="24"/>
          <w:szCs w:val="24"/>
          <w:lang w:eastAsia="en-GB"/>
        </w:rPr>
        <w:t>ing</w:t>
      </w:r>
      <w:r w:rsidRPr="0079232E">
        <w:rPr>
          <w:spacing w:val="8"/>
          <w:sz w:val="24"/>
          <w:szCs w:val="24"/>
          <w:lang w:eastAsia="en-GB"/>
        </w:rPr>
        <w:t xml:space="preserve"> </w:t>
      </w:r>
      <w:r>
        <w:rPr>
          <w:spacing w:val="8"/>
          <w:sz w:val="24"/>
          <w:szCs w:val="24"/>
          <w:lang w:eastAsia="en-GB"/>
        </w:rPr>
        <w:t xml:space="preserve">the </w:t>
      </w:r>
      <w:r w:rsidRPr="0079232E">
        <w:rPr>
          <w:spacing w:val="8"/>
          <w:sz w:val="24"/>
          <w:szCs w:val="24"/>
          <w:lang w:eastAsia="en-GB"/>
        </w:rPr>
        <w:t>health, well-being and experiences of children across the city. It will start with contributions from UNICEF and from colleagues at LCC who are leading the Child Friendly City initiative across Liverpool. Other speakers will include researchers from Edge Hill, Liverpool, Liverpool Hope and John Moore’s universities</w:t>
      </w:r>
      <w:r>
        <w:rPr>
          <w:spacing w:val="8"/>
          <w:sz w:val="24"/>
          <w:szCs w:val="24"/>
          <w:lang w:eastAsia="en-GB"/>
        </w:rPr>
        <w:t>; they</w:t>
      </w:r>
      <w:r w:rsidRPr="0079232E">
        <w:rPr>
          <w:spacing w:val="8"/>
          <w:sz w:val="24"/>
          <w:szCs w:val="24"/>
          <w:lang w:eastAsia="en-GB"/>
        </w:rPr>
        <w:t xml:space="preserve"> will give brief presentations about their research and the potential for the research outcomes to improve the li</w:t>
      </w:r>
      <w:r>
        <w:rPr>
          <w:spacing w:val="8"/>
          <w:sz w:val="24"/>
          <w:szCs w:val="24"/>
          <w:lang w:eastAsia="en-GB"/>
        </w:rPr>
        <w:t xml:space="preserve">ves of </w:t>
      </w:r>
      <w:r w:rsidRPr="0079232E">
        <w:rPr>
          <w:spacing w:val="8"/>
          <w:sz w:val="24"/>
          <w:szCs w:val="24"/>
          <w:lang w:eastAsia="en-GB"/>
        </w:rPr>
        <w:t>children and young people in Liverpool.</w:t>
      </w:r>
    </w:p>
    <w:p w14:paraId="17C099A8" w14:textId="77777777" w:rsidR="000562F6" w:rsidRPr="00304AAE" w:rsidRDefault="000562F6" w:rsidP="000562F6">
      <w:pPr>
        <w:spacing w:before="100" w:beforeAutospacing="1" w:after="100" w:afterAutospacing="1"/>
        <w:rPr>
          <w:spacing w:val="8"/>
          <w:sz w:val="24"/>
          <w:szCs w:val="24"/>
          <w:lang w:eastAsia="en-GB"/>
        </w:rPr>
      </w:pPr>
      <w:r w:rsidRPr="0079232E">
        <w:rPr>
          <w:spacing w:val="8"/>
          <w:sz w:val="24"/>
          <w:szCs w:val="24"/>
          <w:lang w:eastAsia="en-GB"/>
        </w:rPr>
        <w:t>The event is aimed at all LCC partners and other professionals and researchers, at all stages of their careers, with an interest in the Child Friendly City initiat</w:t>
      </w:r>
      <w:r>
        <w:rPr>
          <w:spacing w:val="8"/>
          <w:sz w:val="24"/>
          <w:szCs w:val="24"/>
          <w:lang w:eastAsia="en-GB"/>
        </w:rPr>
        <w:t>iv</w:t>
      </w:r>
      <w:r w:rsidRPr="0079232E">
        <w:rPr>
          <w:spacing w:val="8"/>
          <w:sz w:val="24"/>
          <w:szCs w:val="24"/>
          <w:lang w:eastAsia="en-GB"/>
        </w:rPr>
        <w:t>e and improving the life changes of young people. We welcome you to attend and to contribute to discussions.</w:t>
      </w:r>
      <w:r>
        <w:rPr>
          <w:spacing w:val="8"/>
          <w:sz w:val="24"/>
          <w:szCs w:val="24"/>
          <w:lang w:eastAsia="en-GB"/>
        </w:rPr>
        <w:t xml:space="preserve"> </w:t>
      </w:r>
      <w:r w:rsidRPr="0079232E">
        <w:rPr>
          <w:spacing w:val="8"/>
          <w:sz w:val="24"/>
          <w:szCs w:val="24"/>
          <w:lang w:eastAsia="en-GB"/>
        </w:rPr>
        <w:t xml:space="preserve">The event is free of charge, but advanced booking is required. Please register to attend using the following </w:t>
      </w:r>
      <w:r w:rsidRPr="00627785">
        <w:rPr>
          <w:spacing w:val="8"/>
          <w:sz w:val="24"/>
          <w:szCs w:val="24"/>
          <w:lang w:eastAsia="en-GB"/>
        </w:rPr>
        <w:t xml:space="preserve">link: </w:t>
      </w:r>
      <w:hyperlink r:id="rId7" w:history="1">
        <w:r>
          <w:rPr>
            <w:rStyle w:val="Hyperlink"/>
            <w:rFonts w:eastAsia="Times New Roman"/>
            <w:sz w:val="24"/>
            <w:szCs w:val="24"/>
          </w:rPr>
          <w:t>https://www.eventbrite.co.uk/e/adopting-a-child-friendly-city-approach-in-practice-across-liverpool-tickets-192245921727</w:t>
        </w:r>
      </w:hyperlink>
    </w:p>
    <w:p w14:paraId="52D3731C" w14:textId="77777777" w:rsidR="000562F6" w:rsidRDefault="000562F6" w:rsidP="000562F6">
      <w:pPr>
        <w:rPr>
          <w:rFonts w:eastAsia="Times New Roman"/>
          <w:color w:val="000000"/>
          <w:sz w:val="24"/>
          <w:szCs w:val="24"/>
        </w:rPr>
      </w:pPr>
    </w:p>
    <w:p w14:paraId="14F3D20A" w14:textId="77777777" w:rsidR="000562F6" w:rsidRPr="0079232E" w:rsidRDefault="000562F6" w:rsidP="000562F6">
      <w:pPr>
        <w:rPr>
          <w:b/>
          <w:spacing w:val="8"/>
          <w:sz w:val="24"/>
          <w:szCs w:val="24"/>
          <w:lang w:eastAsia="en-GB"/>
        </w:rPr>
      </w:pPr>
      <w:r w:rsidRPr="0079232E">
        <w:rPr>
          <w:b/>
          <w:spacing w:val="8"/>
          <w:sz w:val="24"/>
          <w:szCs w:val="24"/>
          <w:lang w:eastAsia="en-GB"/>
        </w:rPr>
        <w:t>Brief background to Liverpool’s mission to become a UNICEF Child Friendly City</w:t>
      </w:r>
    </w:p>
    <w:p w14:paraId="68CD8D71" w14:textId="77777777" w:rsidR="000562F6" w:rsidRPr="0079232E" w:rsidRDefault="000562F6" w:rsidP="000562F6">
      <w:pPr>
        <w:rPr>
          <w:sz w:val="24"/>
          <w:szCs w:val="24"/>
        </w:rPr>
      </w:pPr>
      <w:r w:rsidRPr="0079232E">
        <w:rPr>
          <w:spacing w:val="8"/>
          <w:sz w:val="24"/>
          <w:szCs w:val="24"/>
          <w:lang w:eastAsia="en-GB"/>
        </w:rPr>
        <w:t xml:space="preserve">In March 2019, Liverpool City Council (LCC) began working towards becoming a UNICEF Child Friendly City. </w:t>
      </w:r>
      <w:r w:rsidRPr="0079232E">
        <w:rPr>
          <w:sz w:val="24"/>
          <w:szCs w:val="24"/>
        </w:rPr>
        <w:t xml:space="preserve">The overarching aim of </w:t>
      </w:r>
      <w:bookmarkStart w:id="1" w:name="_Hlk19180015"/>
      <w:r w:rsidRPr="0079232E">
        <w:rPr>
          <w:sz w:val="24"/>
          <w:szCs w:val="24"/>
        </w:rPr>
        <w:t xml:space="preserve">UNICEF Child Friendly Cities Initiative </w:t>
      </w:r>
      <w:bookmarkEnd w:id="1"/>
      <w:r w:rsidRPr="0079232E">
        <w:rPr>
          <w:sz w:val="24"/>
          <w:szCs w:val="24"/>
        </w:rPr>
        <w:t xml:space="preserve">is to foster child rights at the local level to improve the daily lives of children and young people in the cities and communities where they live. LCC want the experiences of all children across Liverpool to be underpinned by dignity, equality, safety and participation and they want children to feel safe, valued, to be healthy, and to be informed. The City Council </w:t>
      </w:r>
      <w:r>
        <w:rPr>
          <w:sz w:val="24"/>
          <w:szCs w:val="24"/>
        </w:rPr>
        <w:t xml:space="preserve">is </w:t>
      </w:r>
      <w:r w:rsidRPr="0079232E">
        <w:rPr>
          <w:sz w:val="24"/>
          <w:szCs w:val="24"/>
        </w:rPr>
        <w:t xml:space="preserve">committed to ensuring that children’s voices, needs and rights are integrated into all the services they provide and those of its partners including public services (e.g. </w:t>
      </w:r>
      <w:r w:rsidRPr="0079232E">
        <w:rPr>
          <w:spacing w:val="8"/>
          <w:sz w:val="24"/>
          <w:szCs w:val="24"/>
          <w:lang w:eastAsia="en-GB"/>
        </w:rPr>
        <w:t xml:space="preserve">local authorities, teachers, health care professionals, police, fire service, social workers, early years education), civil society organisations, businesses, transport as well as further and higher education institutions. </w:t>
      </w:r>
    </w:p>
    <w:p w14:paraId="30B810A7" w14:textId="77777777" w:rsidR="000562F6" w:rsidRDefault="000562F6" w:rsidP="000562F6">
      <w:pPr>
        <w:spacing w:before="100" w:beforeAutospacing="1" w:after="100" w:afterAutospacing="1"/>
        <w:rPr>
          <w:color w:val="6F7287"/>
          <w:spacing w:val="8"/>
          <w:sz w:val="24"/>
          <w:szCs w:val="24"/>
          <w:lang w:eastAsia="en-GB"/>
        </w:rPr>
      </w:pPr>
      <w:r w:rsidRPr="0079232E">
        <w:rPr>
          <w:spacing w:val="8"/>
          <w:sz w:val="24"/>
          <w:szCs w:val="24"/>
          <w:lang w:eastAsia="en-GB"/>
        </w:rPr>
        <w:t xml:space="preserve">For further information, please contact: Carol Robinson, Professor of Children’s Rights at Edge Hill University </w:t>
      </w:r>
      <w:hyperlink r:id="rId8" w:history="1">
        <w:r w:rsidRPr="00082CC7">
          <w:rPr>
            <w:rStyle w:val="Hyperlink"/>
            <w:spacing w:val="8"/>
            <w:sz w:val="24"/>
            <w:szCs w:val="24"/>
            <w:lang w:eastAsia="en-GB"/>
          </w:rPr>
          <w:t>carol.robinson@edgehill.ac.uk</w:t>
        </w:r>
      </w:hyperlink>
      <w:r>
        <w:rPr>
          <w:color w:val="6F7287"/>
          <w:spacing w:val="8"/>
          <w:sz w:val="24"/>
          <w:szCs w:val="24"/>
          <w:lang w:eastAsia="en-GB"/>
        </w:rPr>
        <w:t xml:space="preserve"> </w:t>
      </w:r>
    </w:p>
    <w:p w14:paraId="2063A006" w14:textId="77777777" w:rsidR="000562F6" w:rsidRDefault="000562F6" w:rsidP="000562F6">
      <w:pPr>
        <w:spacing w:before="100" w:beforeAutospacing="1" w:after="100" w:afterAutospacing="1"/>
        <w:rPr>
          <w:b/>
          <w:bCs/>
          <w:color w:val="39364F"/>
          <w:spacing w:val="4"/>
          <w:sz w:val="28"/>
          <w:szCs w:val="28"/>
          <w:lang w:eastAsia="en-GB"/>
        </w:rPr>
      </w:pPr>
      <w:r>
        <w:rPr>
          <w:b/>
          <w:bCs/>
          <w:color w:val="39364F"/>
          <w:spacing w:val="4"/>
          <w:sz w:val="28"/>
          <w:szCs w:val="28"/>
          <w:lang w:eastAsia="en-GB"/>
        </w:rPr>
        <w:lastRenderedPageBreak/>
        <w:t>Adopting a Child Friendly City approach in practice across Liverpool</w:t>
      </w:r>
    </w:p>
    <w:p w14:paraId="28FED95A" w14:textId="77777777" w:rsidR="000562F6" w:rsidRDefault="000562F6" w:rsidP="000562F6">
      <w:pPr>
        <w:spacing w:before="100" w:beforeAutospacing="1" w:after="100" w:afterAutospacing="1"/>
        <w:rPr>
          <w:b/>
          <w:bCs/>
          <w:color w:val="39364F"/>
          <w:spacing w:val="4"/>
          <w:sz w:val="24"/>
          <w:szCs w:val="24"/>
          <w:lang w:eastAsia="en-GB"/>
        </w:rPr>
      </w:pPr>
      <w:r>
        <w:rPr>
          <w:b/>
          <w:bCs/>
          <w:color w:val="39364F"/>
          <w:spacing w:val="4"/>
          <w:sz w:val="24"/>
          <w:szCs w:val="24"/>
          <w:lang w:eastAsia="en-GB"/>
        </w:rPr>
        <w:t>Faculty of education, Edge Hill University, Friday 19</w:t>
      </w:r>
      <w:r>
        <w:rPr>
          <w:b/>
          <w:bCs/>
          <w:color w:val="39364F"/>
          <w:spacing w:val="4"/>
          <w:sz w:val="24"/>
          <w:szCs w:val="24"/>
          <w:vertAlign w:val="superscript"/>
          <w:lang w:eastAsia="en-GB"/>
        </w:rPr>
        <w:t>th</w:t>
      </w:r>
      <w:r>
        <w:rPr>
          <w:b/>
          <w:bCs/>
          <w:color w:val="39364F"/>
          <w:spacing w:val="4"/>
          <w:sz w:val="24"/>
          <w:szCs w:val="24"/>
          <w:lang w:eastAsia="en-GB"/>
        </w:rPr>
        <w:t xml:space="preserve"> November 2021, 10am-1pm</w:t>
      </w:r>
    </w:p>
    <w:tbl>
      <w:tblPr>
        <w:tblStyle w:val="TableGrid"/>
        <w:tblW w:w="0" w:type="auto"/>
        <w:tblLook w:val="04A0" w:firstRow="1" w:lastRow="0" w:firstColumn="1" w:lastColumn="0" w:noHBand="0" w:noVBand="1"/>
      </w:tblPr>
      <w:tblGrid>
        <w:gridCol w:w="1689"/>
        <w:gridCol w:w="7327"/>
      </w:tblGrid>
      <w:tr w:rsidR="000562F6" w14:paraId="17965189" w14:textId="77777777" w:rsidTr="00033AFE">
        <w:tc>
          <w:tcPr>
            <w:tcW w:w="9148" w:type="dxa"/>
            <w:gridSpan w:val="2"/>
          </w:tcPr>
          <w:p w14:paraId="53E51CFF" w14:textId="77777777" w:rsidR="000562F6" w:rsidRPr="00033AFE" w:rsidRDefault="000562F6" w:rsidP="000562F6">
            <w:pPr>
              <w:pStyle w:val="NoSpacing"/>
              <w:jc w:val="center"/>
              <w:rPr>
                <w:rFonts w:asciiTheme="minorHAnsi" w:hAnsiTheme="minorHAnsi" w:cstheme="minorHAnsi"/>
                <w:b/>
              </w:rPr>
            </w:pPr>
            <w:r w:rsidRPr="00033AFE">
              <w:rPr>
                <w:rFonts w:asciiTheme="minorHAnsi" w:hAnsiTheme="minorHAnsi" w:cstheme="minorHAnsi"/>
                <w:b/>
              </w:rPr>
              <w:t>Programme</w:t>
            </w:r>
          </w:p>
        </w:tc>
      </w:tr>
      <w:tr w:rsidR="00033AFE" w14:paraId="7193CE70" w14:textId="77777777" w:rsidTr="00033AFE">
        <w:trPr>
          <w:trHeight w:val="838"/>
        </w:trPr>
        <w:tc>
          <w:tcPr>
            <w:tcW w:w="1713" w:type="dxa"/>
          </w:tcPr>
          <w:p w14:paraId="7CC2A1A6" w14:textId="77777777" w:rsidR="00033AFE" w:rsidRPr="00033AFE" w:rsidRDefault="00033AFE" w:rsidP="00722685">
            <w:pPr>
              <w:pStyle w:val="NoSpacing"/>
              <w:rPr>
                <w:rFonts w:asciiTheme="minorHAnsi" w:hAnsiTheme="minorHAnsi" w:cstheme="minorHAnsi"/>
                <w:b/>
              </w:rPr>
            </w:pPr>
            <w:r w:rsidRPr="00033AFE">
              <w:rPr>
                <w:rFonts w:asciiTheme="minorHAnsi" w:hAnsiTheme="minorHAnsi" w:cstheme="minorHAnsi"/>
                <w:b/>
              </w:rPr>
              <w:t>10.00 - 10.10</w:t>
            </w:r>
          </w:p>
        </w:tc>
        <w:tc>
          <w:tcPr>
            <w:tcW w:w="7433" w:type="dxa"/>
          </w:tcPr>
          <w:p w14:paraId="51C055F0" w14:textId="77777777" w:rsidR="00033AFE" w:rsidRPr="00033AFE" w:rsidRDefault="00033AFE" w:rsidP="00722685">
            <w:pPr>
              <w:pStyle w:val="NoSpacing"/>
              <w:rPr>
                <w:rFonts w:asciiTheme="minorHAnsi" w:hAnsiTheme="minorHAnsi" w:cstheme="minorHAnsi"/>
                <w:b/>
              </w:rPr>
            </w:pPr>
            <w:r w:rsidRPr="00033AFE">
              <w:rPr>
                <w:rFonts w:asciiTheme="minorHAnsi" w:hAnsiTheme="minorHAnsi" w:cstheme="minorHAnsi"/>
                <w:b/>
              </w:rPr>
              <w:t>Welcome</w:t>
            </w:r>
          </w:p>
          <w:p w14:paraId="5AADC31C" w14:textId="4542D3AE" w:rsidR="00033AFE" w:rsidRPr="00033AFE" w:rsidRDefault="00033AFE" w:rsidP="00722685">
            <w:pPr>
              <w:pStyle w:val="NoSpacing"/>
              <w:rPr>
                <w:rFonts w:asciiTheme="minorHAnsi" w:hAnsiTheme="minorHAnsi" w:cstheme="minorHAnsi"/>
              </w:rPr>
            </w:pPr>
            <w:r w:rsidRPr="00033AFE">
              <w:rPr>
                <w:rFonts w:asciiTheme="minorHAnsi" w:hAnsiTheme="minorHAnsi" w:cstheme="minorHAnsi"/>
              </w:rPr>
              <w:t>Carol Robinson</w:t>
            </w:r>
            <w:r w:rsidR="004339E5">
              <w:rPr>
                <w:rFonts w:asciiTheme="minorHAnsi" w:hAnsiTheme="minorHAnsi" w:cstheme="minorHAnsi"/>
              </w:rPr>
              <w:t xml:space="preserve">, </w:t>
            </w:r>
            <w:r w:rsidRPr="00033AFE">
              <w:rPr>
                <w:rFonts w:asciiTheme="minorHAnsi" w:hAnsiTheme="minorHAnsi" w:cstheme="minorHAnsi"/>
              </w:rPr>
              <w:t>Professor of Children’s Rights and Dr Jane Moore</w:t>
            </w:r>
            <w:r w:rsidR="004339E5">
              <w:rPr>
                <w:rFonts w:asciiTheme="minorHAnsi" w:hAnsiTheme="minorHAnsi" w:cstheme="minorHAnsi"/>
              </w:rPr>
              <w:t xml:space="preserve">, </w:t>
            </w:r>
            <w:r w:rsidRPr="00033AFE">
              <w:rPr>
                <w:rFonts w:asciiTheme="minorHAnsi" w:hAnsiTheme="minorHAnsi" w:cstheme="minorHAnsi"/>
              </w:rPr>
              <w:t>Dean of Faculty of Education</w:t>
            </w:r>
            <w:r w:rsidR="004339E5">
              <w:rPr>
                <w:rFonts w:asciiTheme="minorHAnsi" w:hAnsiTheme="minorHAnsi" w:cstheme="minorHAnsi"/>
              </w:rPr>
              <w:t>,</w:t>
            </w:r>
            <w:r w:rsidRPr="00033AFE">
              <w:rPr>
                <w:rFonts w:asciiTheme="minorHAnsi" w:hAnsiTheme="minorHAnsi" w:cstheme="minorHAnsi"/>
              </w:rPr>
              <w:t xml:space="preserve"> Edge Hill University</w:t>
            </w:r>
          </w:p>
          <w:p w14:paraId="5722EABA" w14:textId="77777777" w:rsidR="00033AFE" w:rsidRPr="00033AFE" w:rsidRDefault="00033AFE" w:rsidP="00722685">
            <w:pPr>
              <w:pStyle w:val="NoSpacing"/>
              <w:rPr>
                <w:rFonts w:asciiTheme="minorHAnsi" w:hAnsiTheme="minorHAnsi" w:cstheme="minorHAnsi"/>
                <w:b/>
              </w:rPr>
            </w:pPr>
          </w:p>
        </w:tc>
      </w:tr>
      <w:tr w:rsidR="00033AFE" w14:paraId="6095F372" w14:textId="77777777" w:rsidTr="00033AFE">
        <w:trPr>
          <w:trHeight w:val="562"/>
        </w:trPr>
        <w:tc>
          <w:tcPr>
            <w:tcW w:w="1713" w:type="dxa"/>
          </w:tcPr>
          <w:p w14:paraId="4E639BF8" w14:textId="77777777" w:rsidR="00033AFE" w:rsidRPr="00033AFE" w:rsidRDefault="00033AFE" w:rsidP="00722685">
            <w:pPr>
              <w:pStyle w:val="NoSpacing"/>
              <w:rPr>
                <w:rFonts w:asciiTheme="minorHAnsi" w:hAnsiTheme="minorHAnsi" w:cstheme="minorHAnsi"/>
                <w:b/>
              </w:rPr>
            </w:pPr>
            <w:r w:rsidRPr="00033AFE">
              <w:rPr>
                <w:rFonts w:asciiTheme="minorHAnsi" w:hAnsiTheme="minorHAnsi" w:cstheme="minorHAnsi"/>
                <w:b/>
              </w:rPr>
              <w:t>10.10 - 10.25</w:t>
            </w:r>
          </w:p>
        </w:tc>
        <w:tc>
          <w:tcPr>
            <w:tcW w:w="7433" w:type="dxa"/>
          </w:tcPr>
          <w:p w14:paraId="5E63478B" w14:textId="77777777" w:rsidR="00033AFE" w:rsidRPr="00033AFE" w:rsidRDefault="00033AFE" w:rsidP="00722685">
            <w:pPr>
              <w:pStyle w:val="NoSpacing"/>
              <w:rPr>
                <w:rFonts w:asciiTheme="minorHAnsi" w:hAnsiTheme="minorHAnsi" w:cstheme="minorHAnsi"/>
                <w:b/>
              </w:rPr>
            </w:pPr>
            <w:proofErr w:type="spellStart"/>
            <w:r w:rsidRPr="00033AFE">
              <w:rPr>
                <w:rFonts w:asciiTheme="minorHAnsi" w:hAnsiTheme="minorHAnsi" w:cstheme="minorHAnsi"/>
                <w:b/>
              </w:rPr>
              <w:t>Unicef</w:t>
            </w:r>
            <w:proofErr w:type="spellEnd"/>
            <w:r w:rsidRPr="00033AFE">
              <w:rPr>
                <w:rFonts w:asciiTheme="minorHAnsi" w:hAnsiTheme="minorHAnsi" w:cstheme="minorHAnsi"/>
                <w:b/>
              </w:rPr>
              <w:t xml:space="preserve"> Child Friendly City Initiative</w:t>
            </w:r>
          </w:p>
          <w:p w14:paraId="21BC8028" w14:textId="77777777" w:rsidR="00033AFE" w:rsidRPr="00033AFE" w:rsidRDefault="00033AFE" w:rsidP="00722685">
            <w:pPr>
              <w:pStyle w:val="NoSpacing"/>
              <w:rPr>
                <w:rFonts w:asciiTheme="minorHAnsi" w:hAnsiTheme="minorHAnsi" w:cstheme="minorHAnsi"/>
              </w:rPr>
            </w:pPr>
            <w:r w:rsidRPr="00033AFE">
              <w:rPr>
                <w:rFonts w:asciiTheme="minorHAnsi" w:hAnsiTheme="minorHAnsi" w:cstheme="minorHAnsi"/>
              </w:rPr>
              <w:t xml:space="preserve">Naomi </w:t>
            </w:r>
            <w:proofErr w:type="spellStart"/>
            <w:r w:rsidRPr="00033AFE">
              <w:rPr>
                <w:rFonts w:asciiTheme="minorHAnsi" w:hAnsiTheme="minorHAnsi" w:cstheme="minorHAnsi"/>
              </w:rPr>
              <w:t>Danuh</w:t>
            </w:r>
            <w:proofErr w:type="spellEnd"/>
            <w:r w:rsidRPr="00033AFE">
              <w:rPr>
                <w:rFonts w:asciiTheme="minorHAnsi" w:hAnsiTheme="minorHAnsi" w:cstheme="minorHAnsi"/>
              </w:rPr>
              <w:t xml:space="preserve">, </w:t>
            </w:r>
            <w:proofErr w:type="spellStart"/>
            <w:r w:rsidRPr="00033AFE">
              <w:rPr>
                <w:rFonts w:asciiTheme="minorHAnsi" w:hAnsiTheme="minorHAnsi" w:cstheme="minorHAnsi"/>
              </w:rPr>
              <w:t>Unicef</w:t>
            </w:r>
            <w:proofErr w:type="spellEnd"/>
            <w:r w:rsidRPr="00033AFE">
              <w:rPr>
                <w:rFonts w:asciiTheme="minorHAnsi" w:hAnsiTheme="minorHAnsi" w:cstheme="minorHAnsi"/>
              </w:rPr>
              <w:t xml:space="preserve"> UK</w:t>
            </w:r>
          </w:p>
          <w:p w14:paraId="578D3E25" w14:textId="77777777" w:rsidR="00033AFE" w:rsidRPr="00033AFE" w:rsidRDefault="00033AFE" w:rsidP="00722685">
            <w:pPr>
              <w:pStyle w:val="NoSpacing"/>
              <w:rPr>
                <w:rFonts w:asciiTheme="minorHAnsi" w:hAnsiTheme="minorHAnsi" w:cstheme="minorHAnsi"/>
                <w:b/>
              </w:rPr>
            </w:pPr>
          </w:p>
        </w:tc>
      </w:tr>
      <w:tr w:rsidR="00033AFE" w14:paraId="43F6F73F" w14:textId="77777777" w:rsidTr="00033AFE">
        <w:trPr>
          <w:trHeight w:val="562"/>
        </w:trPr>
        <w:tc>
          <w:tcPr>
            <w:tcW w:w="1713" w:type="dxa"/>
          </w:tcPr>
          <w:p w14:paraId="73A94CBB" w14:textId="77777777" w:rsidR="00033AFE" w:rsidRPr="00033AFE" w:rsidRDefault="00033AFE" w:rsidP="00722685">
            <w:pPr>
              <w:pStyle w:val="NoSpacing"/>
              <w:rPr>
                <w:rFonts w:asciiTheme="minorHAnsi" w:hAnsiTheme="minorHAnsi" w:cstheme="minorHAnsi"/>
                <w:b/>
              </w:rPr>
            </w:pPr>
            <w:r w:rsidRPr="00033AFE">
              <w:rPr>
                <w:rFonts w:asciiTheme="minorHAnsi" w:hAnsiTheme="minorHAnsi" w:cstheme="minorHAnsi"/>
                <w:b/>
              </w:rPr>
              <w:t>10.25 - 10.35</w:t>
            </w:r>
          </w:p>
        </w:tc>
        <w:tc>
          <w:tcPr>
            <w:tcW w:w="7433" w:type="dxa"/>
          </w:tcPr>
          <w:p w14:paraId="40F1867D" w14:textId="77777777" w:rsidR="00033AFE" w:rsidRPr="00033AFE" w:rsidRDefault="00033AFE" w:rsidP="00722685">
            <w:pPr>
              <w:pStyle w:val="NoSpacing"/>
              <w:rPr>
                <w:rFonts w:asciiTheme="minorHAnsi" w:hAnsiTheme="minorHAnsi" w:cstheme="minorHAnsi"/>
                <w:b/>
              </w:rPr>
            </w:pPr>
            <w:r w:rsidRPr="00033AFE">
              <w:rPr>
                <w:rFonts w:asciiTheme="minorHAnsi" w:hAnsiTheme="minorHAnsi" w:cstheme="minorHAnsi"/>
                <w:b/>
              </w:rPr>
              <w:t>Liverpool becoming a Child Friendly City: progress to date</w:t>
            </w:r>
          </w:p>
          <w:p w14:paraId="0CC13A43" w14:textId="4CFE197B" w:rsidR="00033AFE" w:rsidRPr="00033AFE" w:rsidRDefault="00033AFE" w:rsidP="00722685">
            <w:pPr>
              <w:pStyle w:val="NoSpacing"/>
              <w:rPr>
                <w:rFonts w:asciiTheme="minorHAnsi" w:hAnsiTheme="minorHAnsi" w:cstheme="minorHAnsi"/>
              </w:rPr>
            </w:pPr>
            <w:r w:rsidRPr="00033AFE">
              <w:rPr>
                <w:rFonts w:asciiTheme="minorHAnsi" w:hAnsiTheme="minorHAnsi" w:cstheme="minorHAnsi"/>
              </w:rPr>
              <w:t>Steve</w:t>
            </w:r>
            <w:r w:rsidR="004339E5">
              <w:rPr>
                <w:rFonts w:asciiTheme="minorHAnsi" w:hAnsiTheme="minorHAnsi" w:cstheme="minorHAnsi"/>
              </w:rPr>
              <w:t xml:space="preserve"> Reddy, Director of Children and Young People’s Services, Liverpool City Council </w:t>
            </w:r>
          </w:p>
          <w:p w14:paraId="6BE4CF70" w14:textId="77777777" w:rsidR="00033AFE" w:rsidRPr="00033AFE" w:rsidRDefault="00033AFE" w:rsidP="00722685">
            <w:pPr>
              <w:pStyle w:val="NoSpacing"/>
              <w:rPr>
                <w:rFonts w:asciiTheme="minorHAnsi" w:hAnsiTheme="minorHAnsi" w:cstheme="minorHAnsi"/>
                <w:b/>
              </w:rPr>
            </w:pPr>
          </w:p>
        </w:tc>
      </w:tr>
      <w:tr w:rsidR="00033AFE" w14:paraId="1BA40B26" w14:textId="77777777" w:rsidTr="00033AFE">
        <w:trPr>
          <w:trHeight w:val="7727"/>
        </w:trPr>
        <w:tc>
          <w:tcPr>
            <w:tcW w:w="1713" w:type="dxa"/>
          </w:tcPr>
          <w:p w14:paraId="7477F397" w14:textId="77777777" w:rsidR="00033AFE" w:rsidRPr="00033AFE" w:rsidRDefault="00033AFE" w:rsidP="00722685">
            <w:pPr>
              <w:pStyle w:val="NoSpacing"/>
              <w:rPr>
                <w:rFonts w:asciiTheme="minorHAnsi" w:hAnsiTheme="minorHAnsi" w:cstheme="minorHAnsi"/>
                <w:b/>
              </w:rPr>
            </w:pPr>
            <w:r w:rsidRPr="00033AFE">
              <w:rPr>
                <w:rFonts w:asciiTheme="minorHAnsi" w:hAnsiTheme="minorHAnsi" w:cstheme="minorHAnsi"/>
                <w:b/>
              </w:rPr>
              <w:t>10.35 – 10.50</w:t>
            </w:r>
          </w:p>
        </w:tc>
        <w:tc>
          <w:tcPr>
            <w:tcW w:w="7433" w:type="dxa"/>
          </w:tcPr>
          <w:p w14:paraId="38C8E18A" w14:textId="77777777" w:rsidR="00033AFE" w:rsidRPr="00033AFE" w:rsidRDefault="00033AFE" w:rsidP="000562F6">
            <w:pPr>
              <w:pStyle w:val="NoSpacing"/>
              <w:rPr>
                <w:rFonts w:asciiTheme="minorHAnsi" w:hAnsiTheme="minorHAnsi" w:cstheme="minorHAnsi"/>
                <w:b/>
              </w:rPr>
            </w:pPr>
            <w:r w:rsidRPr="00033AFE">
              <w:rPr>
                <w:rFonts w:asciiTheme="minorHAnsi" w:hAnsiTheme="minorHAnsi" w:cstheme="minorHAnsi"/>
                <w:b/>
              </w:rPr>
              <w:t xml:space="preserve">Raising children and young people’s mental health awareness: Tackling the Blues. </w:t>
            </w:r>
          </w:p>
          <w:p w14:paraId="0D814460" w14:textId="77777777" w:rsidR="00033AFE" w:rsidRPr="00033AFE" w:rsidRDefault="00033AFE" w:rsidP="00722685">
            <w:pPr>
              <w:pStyle w:val="NoSpacing"/>
              <w:rPr>
                <w:rFonts w:asciiTheme="minorHAnsi" w:hAnsiTheme="minorHAnsi" w:cstheme="minorHAnsi"/>
              </w:rPr>
            </w:pPr>
            <w:r w:rsidRPr="00033AFE">
              <w:rPr>
                <w:rFonts w:asciiTheme="minorHAnsi" w:hAnsiTheme="minorHAnsi" w:cstheme="minorHAnsi"/>
              </w:rPr>
              <w:t>Rachel Wilcock and Aston Monro, Edge Hill University</w:t>
            </w:r>
          </w:p>
          <w:p w14:paraId="3328D72A" w14:textId="77777777" w:rsidR="00033AFE" w:rsidRPr="00033AFE" w:rsidRDefault="00033AFE" w:rsidP="00722685">
            <w:pPr>
              <w:pStyle w:val="NoSpacing"/>
              <w:rPr>
                <w:rFonts w:asciiTheme="minorHAnsi" w:hAnsiTheme="minorHAnsi" w:cstheme="minorHAnsi"/>
              </w:rPr>
            </w:pPr>
          </w:p>
          <w:p w14:paraId="40D33A41" w14:textId="77777777" w:rsidR="00033AFE" w:rsidRPr="00033AFE" w:rsidRDefault="00033AFE" w:rsidP="000562F6">
            <w:pPr>
              <w:pStyle w:val="NoSpacing"/>
              <w:rPr>
                <w:rFonts w:asciiTheme="minorHAnsi" w:hAnsiTheme="minorHAnsi" w:cstheme="minorHAnsi"/>
                <w:b/>
              </w:rPr>
            </w:pPr>
            <w:r w:rsidRPr="00033AFE">
              <w:rPr>
                <w:rFonts w:asciiTheme="minorHAnsi" w:hAnsiTheme="minorHAnsi" w:cstheme="minorHAnsi"/>
                <w:b/>
              </w:rPr>
              <w:t xml:space="preserve">Abstract: </w:t>
            </w:r>
            <w:r w:rsidRPr="00033AFE">
              <w:rPr>
                <w:rFonts w:asciiTheme="minorHAnsi" w:hAnsiTheme="minorHAnsi" w:cstheme="minorHAnsi"/>
              </w:rPr>
              <w:t>Tackling the Blues (</w:t>
            </w:r>
            <w:proofErr w:type="spellStart"/>
            <w:r w:rsidRPr="00033AFE">
              <w:rPr>
                <w:rFonts w:asciiTheme="minorHAnsi" w:hAnsiTheme="minorHAnsi" w:cstheme="minorHAnsi"/>
              </w:rPr>
              <w:t>TtB</w:t>
            </w:r>
            <w:proofErr w:type="spellEnd"/>
            <w:r w:rsidRPr="00033AFE">
              <w:rPr>
                <w:rFonts w:asciiTheme="minorHAnsi" w:hAnsiTheme="minorHAnsi" w:cstheme="minorHAnsi"/>
              </w:rPr>
              <w:t xml:space="preserve">) is a sport, physical activity, arts and education-based mental health literacy programme. It supports children and young people aged 6-16 who are experiencing, or are at risk of developing, mental illness. </w:t>
            </w:r>
            <w:proofErr w:type="spellStart"/>
            <w:r w:rsidRPr="00033AFE">
              <w:rPr>
                <w:rFonts w:asciiTheme="minorHAnsi" w:hAnsiTheme="minorHAnsi" w:cstheme="minorHAnsi"/>
              </w:rPr>
              <w:t>TtB</w:t>
            </w:r>
            <w:proofErr w:type="spellEnd"/>
            <w:r w:rsidRPr="00033AFE">
              <w:rPr>
                <w:rFonts w:asciiTheme="minorHAnsi" w:hAnsiTheme="minorHAnsi" w:cstheme="minorHAnsi"/>
              </w:rPr>
              <w:t xml:space="preserve"> is delivered in partnership between the Faculty of Education and the Department of Sport and Physical Activity at Edge Hill University (EHU), Everton in the Community (and Tate Liverpool. The programme is currently funded by the Office for Students and Research England with support from the Premier League Charitable Fund. </w:t>
            </w:r>
            <w:proofErr w:type="spellStart"/>
            <w:r w:rsidRPr="00033AFE">
              <w:rPr>
                <w:rFonts w:asciiTheme="minorHAnsi" w:hAnsiTheme="minorHAnsi" w:cstheme="minorHAnsi"/>
              </w:rPr>
              <w:t>TtB</w:t>
            </w:r>
            <w:proofErr w:type="spellEnd"/>
            <w:r w:rsidRPr="00033AFE">
              <w:rPr>
                <w:rFonts w:asciiTheme="minorHAnsi" w:hAnsiTheme="minorHAnsi" w:cstheme="minorHAnsi"/>
              </w:rPr>
              <w:t xml:space="preserve"> contributes to improved mental health literacy and educational performance among children and young people. It seeks to address the complex social determinants and inequalities associated with mental health and illness by:</w:t>
            </w:r>
          </w:p>
          <w:p w14:paraId="026E9AD8" w14:textId="77777777" w:rsidR="00033AFE" w:rsidRPr="00033AFE" w:rsidRDefault="00033AFE" w:rsidP="000562F6">
            <w:pPr>
              <w:pStyle w:val="NoSpacing"/>
              <w:rPr>
                <w:rFonts w:asciiTheme="minorHAnsi" w:hAnsiTheme="minorHAnsi" w:cstheme="minorHAnsi"/>
              </w:rPr>
            </w:pPr>
            <w:r w:rsidRPr="00033AFE">
              <w:rPr>
                <w:rFonts w:asciiTheme="minorHAnsi" w:hAnsiTheme="minorHAnsi" w:cstheme="minorHAnsi"/>
              </w:rPr>
              <w:t xml:space="preserve">· Contributing to the prevention and early intervention of mental illness in children and young people </w:t>
            </w:r>
          </w:p>
          <w:p w14:paraId="68371207" w14:textId="77777777" w:rsidR="00033AFE" w:rsidRPr="00033AFE" w:rsidRDefault="00033AFE" w:rsidP="000562F6">
            <w:pPr>
              <w:pStyle w:val="NoSpacing"/>
              <w:rPr>
                <w:rFonts w:asciiTheme="minorHAnsi" w:hAnsiTheme="minorHAnsi" w:cstheme="minorHAnsi"/>
              </w:rPr>
            </w:pPr>
            <w:r w:rsidRPr="00033AFE">
              <w:rPr>
                <w:rFonts w:asciiTheme="minorHAnsi" w:hAnsiTheme="minorHAnsi" w:cstheme="minorHAnsi"/>
              </w:rPr>
              <w:t xml:space="preserve">· Promoting mental health literacy and support for children and young people </w:t>
            </w:r>
          </w:p>
          <w:p w14:paraId="23BB9447" w14:textId="77777777" w:rsidR="00033AFE" w:rsidRPr="00033AFE" w:rsidRDefault="00033AFE" w:rsidP="000562F6">
            <w:pPr>
              <w:pStyle w:val="NoSpacing"/>
              <w:rPr>
                <w:rFonts w:asciiTheme="minorHAnsi" w:hAnsiTheme="minorHAnsi" w:cstheme="minorHAnsi"/>
              </w:rPr>
            </w:pPr>
            <w:r w:rsidRPr="00033AFE">
              <w:rPr>
                <w:rFonts w:asciiTheme="minorHAnsi" w:hAnsiTheme="minorHAnsi" w:cstheme="minorHAnsi"/>
              </w:rPr>
              <w:t xml:space="preserve">· Support schools to develop whole school approaches to mental health and wellbeing </w:t>
            </w:r>
          </w:p>
          <w:p w14:paraId="6E342A54" w14:textId="77777777" w:rsidR="00033AFE" w:rsidRPr="00033AFE" w:rsidRDefault="00033AFE" w:rsidP="000562F6">
            <w:pPr>
              <w:pStyle w:val="NoSpacing"/>
              <w:rPr>
                <w:rFonts w:asciiTheme="minorHAnsi" w:hAnsiTheme="minorHAnsi" w:cstheme="minorHAnsi"/>
              </w:rPr>
            </w:pPr>
            <w:r w:rsidRPr="00033AFE">
              <w:rPr>
                <w:rFonts w:asciiTheme="minorHAnsi" w:hAnsiTheme="minorHAnsi" w:cstheme="minorHAnsi"/>
              </w:rPr>
              <w:t xml:space="preserve">· Undertaking systematic, rigorous and robust research activity designed to understand and improve the mental health and wellbeing of children, young people </w:t>
            </w:r>
          </w:p>
          <w:p w14:paraId="6248BDBE" w14:textId="77777777" w:rsidR="00033AFE" w:rsidRPr="00033AFE" w:rsidRDefault="00033AFE" w:rsidP="000562F6">
            <w:pPr>
              <w:pStyle w:val="NoSpacing"/>
              <w:rPr>
                <w:rFonts w:asciiTheme="minorHAnsi" w:hAnsiTheme="minorHAnsi" w:cstheme="minorHAnsi"/>
                <w:b/>
              </w:rPr>
            </w:pPr>
            <w:r w:rsidRPr="00033AFE">
              <w:rPr>
                <w:rFonts w:asciiTheme="minorHAnsi" w:hAnsiTheme="minorHAnsi" w:cstheme="minorHAnsi"/>
              </w:rPr>
              <w:t>· Developing resources, CPD and other training opportunities to support education professionals</w:t>
            </w:r>
          </w:p>
        </w:tc>
      </w:tr>
      <w:tr w:rsidR="00B41777" w14:paraId="63BBAD37" w14:textId="77777777" w:rsidTr="00033AFE">
        <w:trPr>
          <w:trHeight w:val="3588"/>
        </w:trPr>
        <w:tc>
          <w:tcPr>
            <w:tcW w:w="1713" w:type="dxa"/>
          </w:tcPr>
          <w:p w14:paraId="7F4C8492" w14:textId="77777777" w:rsidR="00B41777" w:rsidRPr="00033AFE" w:rsidRDefault="00B41777" w:rsidP="00722685">
            <w:pPr>
              <w:pStyle w:val="NoSpacing"/>
              <w:rPr>
                <w:rFonts w:asciiTheme="minorHAnsi" w:hAnsiTheme="minorHAnsi" w:cstheme="minorHAnsi"/>
                <w:b/>
              </w:rPr>
            </w:pPr>
            <w:r w:rsidRPr="00033AFE">
              <w:rPr>
                <w:rFonts w:asciiTheme="minorHAnsi" w:hAnsiTheme="minorHAnsi" w:cstheme="minorHAnsi"/>
                <w:b/>
              </w:rPr>
              <w:lastRenderedPageBreak/>
              <w:t>10.50- 11.05</w:t>
            </w:r>
          </w:p>
        </w:tc>
        <w:tc>
          <w:tcPr>
            <w:tcW w:w="7433" w:type="dxa"/>
          </w:tcPr>
          <w:p w14:paraId="3586D817" w14:textId="77777777" w:rsidR="00B41777" w:rsidRPr="00033AFE" w:rsidRDefault="00B41777" w:rsidP="000562F6">
            <w:pPr>
              <w:pStyle w:val="NoSpacing"/>
              <w:rPr>
                <w:rFonts w:asciiTheme="minorHAnsi" w:hAnsiTheme="minorHAnsi" w:cstheme="minorHAnsi"/>
              </w:rPr>
            </w:pPr>
            <w:r w:rsidRPr="00033AFE">
              <w:rPr>
                <w:rFonts w:asciiTheme="minorHAnsi" w:hAnsiTheme="minorHAnsi" w:cstheme="minorHAnsi"/>
                <w:b/>
              </w:rPr>
              <w:t>What children impacted by parental imprisonment need for their city to be child-friendly</w:t>
            </w:r>
            <w:r w:rsidRPr="00033AFE">
              <w:rPr>
                <w:rFonts w:asciiTheme="minorHAnsi" w:hAnsiTheme="minorHAnsi" w:cstheme="minorHAnsi"/>
              </w:rPr>
              <w:t xml:space="preserve"> </w:t>
            </w:r>
          </w:p>
          <w:p w14:paraId="111CB85C" w14:textId="228D34A1" w:rsidR="00B41777" w:rsidRPr="00033AFE" w:rsidRDefault="004339E5" w:rsidP="00722685">
            <w:pPr>
              <w:pStyle w:val="NoSpacing"/>
              <w:rPr>
                <w:rFonts w:asciiTheme="minorHAnsi" w:hAnsiTheme="minorHAnsi" w:cstheme="minorHAnsi"/>
              </w:rPr>
            </w:pPr>
            <w:r>
              <w:rPr>
                <w:rFonts w:asciiTheme="minorHAnsi" w:hAnsiTheme="minorHAnsi" w:cstheme="minorHAnsi"/>
              </w:rPr>
              <w:t xml:space="preserve">Dr </w:t>
            </w:r>
            <w:r w:rsidR="00B41777" w:rsidRPr="00033AFE">
              <w:rPr>
                <w:rFonts w:asciiTheme="minorHAnsi" w:hAnsiTheme="minorHAnsi" w:cstheme="minorHAnsi"/>
              </w:rPr>
              <w:t xml:space="preserve">Lorna Brookes, Liverpool John </w:t>
            </w:r>
            <w:proofErr w:type="spellStart"/>
            <w:r w:rsidR="00B41777" w:rsidRPr="00033AFE">
              <w:rPr>
                <w:rFonts w:asciiTheme="minorHAnsi" w:hAnsiTheme="minorHAnsi" w:cstheme="minorHAnsi"/>
              </w:rPr>
              <w:t>Moores</w:t>
            </w:r>
            <w:proofErr w:type="spellEnd"/>
            <w:r w:rsidR="00B41777" w:rsidRPr="00033AFE">
              <w:rPr>
                <w:rFonts w:asciiTheme="minorHAnsi" w:hAnsiTheme="minorHAnsi" w:cstheme="minorHAnsi"/>
              </w:rPr>
              <w:t xml:space="preserve"> University</w:t>
            </w:r>
          </w:p>
          <w:p w14:paraId="15D95846" w14:textId="77777777" w:rsidR="00B41777" w:rsidRPr="00033AFE" w:rsidRDefault="00B41777" w:rsidP="00722685">
            <w:pPr>
              <w:pStyle w:val="NoSpacing"/>
              <w:rPr>
                <w:rFonts w:asciiTheme="minorHAnsi" w:hAnsiTheme="minorHAnsi" w:cstheme="minorHAnsi"/>
              </w:rPr>
            </w:pPr>
          </w:p>
          <w:p w14:paraId="4E1C2768" w14:textId="77777777" w:rsidR="00B41777" w:rsidRPr="00033AFE" w:rsidRDefault="00B41777" w:rsidP="000562F6">
            <w:pPr>
              <w:pStyle w:val="NoSpacing"/>
              <w:rPr>
                <w:rFonts w:asciiTheme="minorHAnsi" w:hAnsiTheme="minorHAnsi" w:cstheme="minorHAnsi"/>
              </w:rPr>
            </w:pPr>
            <w:r w:rsidRPr="00033AFE">
              <w:rPr>
                <w:rFonts w:asciiTheme="minorHAnsi" w:hAnsiTheme="minorHAnsi" w:cstheme="minorHAnsi"/>
                <w:b/>
              </w:rPr>
              <w:t xml:space="preserve">Abstract: </w:t>
            </w:r>
            <w:r w:rsidRPr="00033AFE">
              <w:rPr>
                <w:rFonts w:asciiTheme="minorHAnsi" w:hAnsiTheme="minorHAnsi" w:cstheme="minorHAnsi"/>
              </w:rPr>
              <w:t xml:space="preserve">Dr Lorna Brookes is the founder of Time-Matters UK https://www.timemattersuk.com/ and a senior lecturer at Liverpool John </w:t>
            </w:r>
            <w:proofErr w:type="spellStart"/>
            <w:r w:rsidRPr="00033AFE">
              <w:rPr>
                <w:rFonts w:asciiTheme="minorHAnsi" w:hAnsiTheme="minorHAnsi" w:cstheme="minorHAnsi"/>
              </w:rPr>
              <w:t>Moores</w:t>
            </w:r>
            <w:proofErr w:type="spellEnd"/>
            <w:r w:rsidRPr="00033AFE">
              <w:rPr>
                <w:rFonts w:asciiTheme="minorHAnsi" w:hAnsiTheme="minorHAnsi" w:cstheme="minorHAnsi"/>
              </w:rPr>
              <w:t xml:space="preserve"> University. This presentation will consider some of the contemporary challenges faced by children impacted by parental imprisonment. Issues around children's safety and privacy will be highlighted as well as some recommendations for good practice and ongoing improvements in the way this cohort can be better supported will be proffered.</w:t>
            </w:r>
          </w:p>
          <w:p w14:paraId="2920A08B" w14:textId="77777777" w:rsidR="00B41777" w:rsidRPr="00033AFE" w:rsidRDefault="00B41777" w:rsidP="000562F6">
            <w:pPr>
              <w:pStyle w:val="NoSpacing"/>
              <w:rPr>
                <w:rFonts w:asciiTheme="minorHAnsi" w:hAnsiTheme="minorHAnsi" w:cstheme="minorHAnsi"/>
              </w:rPr>
            </w:pPr>
          </w:p>
        </w:tc>
      </w:tr>
      <w:tr w:rsidR="00B41777" w14:paraId="31A59DFA" w14:textId="77777777" w:rsidTr="00033AFE">
        <w:trPr>
          <w:trHeight w:val="562"/>
        </w:trPr>
        <w:tc>
          <w:tcPr>
            <w:tcW w:w="1713" w:type="dxa"/>
          </w:tcPr>
          <w:p w14:paraId="31F10414" w14:textId="77777777" w:rsidR="00B41777" w:rsidRPr="00033AFE" w:rsidRDefault="00B41777" w:rsidP="00722685">
            <w:pPr>
              <w:pStyle w:val="NoSpacing"/>
              <w:rPr>
                <w:rFonts w:asciiTheme="minorHAnsi" w:hAnsiTheme="minorHAnsi" w:cstheme="minorHAnsi"/>
                <w:b/>
              </w:rPr>
            </w:pPr>
            <w:r w:rsidRPr="00033AFE">
              <w:rPr>
                <w:rFonts w:asciiTheme="minorHAnsi" w:hAnsiTheme="minorHAnsi" w:cstheme="minorHAnsi"/>
                <w:b/>
              </w:rPr>
              <w:t>11.05 – 11.20</w:t>
            </w:r>
          </w:p>
        </w:tc>
        <w:tc>
          <w:tcPr>
            <w:tcW w:w="7433" w:type="dxa"/>
          </w:tcPr>
          <w:p w14:paraId="495BA09F" w14:textId="37BF2AD0" w:rsidR="007357D5" w:rsidRPr="007357D5" w:rsidRDefault="007357D5" w:rsidP="007357D5">
            <w:pPr>
              <w:rPr>
                <w:b/>
                <w:bCs/>
                <w:sz w:val="24"/>
                <w:szCs w:val="24"/>
              </w:rPr>
            </w:pPr>
            <w:r w:rsidRPr="007357D5">
              <w:rPr>
                <w:b/>
                <w:bCs/>
                <w:sz w:val="24"/>
                <w:szCs w:val="24"/>
              </w:rPr>
              <w:t xml:space="preserve">Ensuring success for All Young People – Development of a new Liverpool Pathway to Employment programme </w:t>
            </w:r>
          </w:p>
          <w:p w14:paraId="0DDB3562" w14:textId="12B07637" w:rsidR="007A4F01" w:rsidRPr="007A4F01" w:rsidRDefault="007A4F01" w:rsidP="007A4F01">
            <w:pPr>
              <w:rPr>
                <w:rFonts w:asciiTheme="minorHAnsi" w:hAnsiTheme="minorHAnsi" w:cstheme="minorHAnsi"/>
                <w:bCs/>
                <w:sz w:val="24"/>
                <w:szCs w:val="24"/>
              </w:rPr>
            </w:pPr>
            <w:r w:rsidRPr="007A4F01">
              <w:rPr>
                <w:rFonts w:asciiTheme="minorHAnsi" w:hAnsiTheme="minorHAnsi" w:cstheme="minorHAnsi"/>
                <w:bCs/>
                <w:sz w:val="24"/>
                <w:szCs w:val="24"/>
              </w:rPr>
              <w:t>Dr Katie Spall - Liverpool City Council, Children and Young People’s Service</w:t>
            </w:r>
          </w:p>
          <w:p w14:paraId="16B3C93D" w14:textId="77777777" w:rsidR="007A4F01" w:rsidRPr="007A4F01" w:rsidRDefault="007A4F01" w:rsidP="007A4F01">
            <w:pPr>
              <w:rPr>
                <w:rFonts w:asciiTheme="minorHAnsi" w:hAnsiTheme="minorHAnsi" w:cstheme="minorHAnsi"/>
                <w:bCs/>
                <w:sz w:val="24"/>
                <w:szCs w:val="24"/>
              </w:rPr>
            </w:pPr>
          </w:p>
          <w:p w14:paraId="2D9BB623" w14:textId="3EFFDDAD" w:rsidR="007A4F01" w:rsidRPr="007A4F01" w:rsidRDefault="007A4F01" w:rsidP="007A4F01">
            <w:pPr>
              <w:rPr>
                <w:rFonts w:asciiTheme="minorHAnsi" w:hAnsiTheme="minorHAnsi" w:cstheme="minorHAnsi"/>
                <w:kern w:val="36"/>
                <w:sz w:val="24"/>
                <w:szCs w:val="24"/>
              </w:rPr>
            </w:pPr>
            <w:r w:rsidRPr="007A4F01">
              <w:rPr>
                <w:rFonts w:asciiTheme="minorHAnsi" w:hAnsiTheme="minorHAnsi" w:cstheme="minorHAnsi"/>
                <w:b/>
                <w:sz w:val="24"/>
                <w:szCs w:val="24"/>
              </w:rPr>
              <w:t>Abstract:</w:t>
            </w:r>
            <w:r w:rsidRPr="007A4F01">
              <w:rPr>
                <w:rFonts w:asciiTheme="minorHAnsi" w:hAnsiTheme="minorHAnsi" w:cstheme="minorHAnsi"/>
                <w:bCs/>
                <w:sz w:val="24"/>
                <w:szCs w:val="24"/>
              </w:rPr>
              <w:t xml:space="preserve"> </w:t>
            </w:r>
            <w:r w:rsidRPr="007A4F01">
              <w:rPr>
                <w:rFonts w:asciiTheme="minorHAnsi" w:hAnsiTheme="minorHAnsi" w:cstheme="minorHAnsi"/>
                <w:sz w:val="24"/>
                <w:szCs w:val="24"/>
              </w:rPr>
              <w:t>There is significant evidence that c</w:t>
            </w:r>
            <w:r w:rsidRPr="007A4F01">
              <w:rPr>
                <w:rFonts w:asciiTheme="minorHAnsi" w:hAnsiTheme="minorHAnsi" w:cstheme="minorHAnsi"/>
                <w:kern w:val="36"/>
                <w:sz w:val="24"/>
                <w:szCs w:val="24"/>
              </w:rPr>
              <w:t xml:space="preserve">ertain groups of Young People are more vulnerable than others and more likely to end up NEET, such as young carers, looked after children and those with SEND, young people who have come from many generations of unemployment. </w:t>
            </w:r>
          </w:p>
          <w:p w14:paraId="2C60D43A" w14:textId="77777777" w:rsidR="007A4F01" w:rsidRPr="007A4F01" w:rsidRDefault="007A4F01" w:rsidP="007A4F01">
            <w:pPr>
              <w:pStyle w:val="Default"/>
              <w:rPr>
                <w:rFonts w:asciiTheme="minorHAnsi" w:hAnsiTheme="minorHAnsi" w:cstheme="minorHAnsi"/>
              </w:rPr>
            </w:pPr>
            <w:r w:rsidRPr="007A4F01">
              <w:rPr>
                <w:rFonts w:asciiTheme="minorHAnsi" w:hAnsiTheme="minorHAnsi" w:cstheme="minorHAnsi"/>
              </w:rPr>
              <w:t xml:space="preserve">Currently the more disadvantaged Young People are not getting the opportunities they deserve.  They have highlighted the need for more development life skills, access to wider work experience opportunities, skills for work and managing money, better preparation for adulthood, and more educational trips to </w:t>
            </w:r>
            <w:proofErr w:type="gramStart"/>
            <w:r w:rsidRPr="007A4F01">
              <w:rPr>
                <w:rFonts w:asciiTheme="minorHAnsi" w:hAnsiTheme="minorHAnsi" w:cstheme="minorHAnsi"/>
              </w:rPr>
              <w:t>open up</w:t>
            </w:r>
            <w:proofErr w:type="gramEnd"/>
            <w:r w:rsidRPr="007A4F01">
              <w:rPr>
                <w:rFonts w:asciiTheme="minorHAnsi" w:hAnsiTheme="minorHAnsi" w:cstheme="minorHAnsi"/>
              </w:rPr>
              <w:t xml:space="preserve"> horizons. </w:t>
            </w:r>
          </w:p>
          <w:p w14:paraId="25540EF5" w14:textId="77777777" w:rsidR="007A4F01" w:rsidRPr="007A4F01" w:rsidRDefault="007A4F01" w:rsidP="007A4F01">
            <w:pPr>
              <w:spacing w:line="252" w:lineRule="auto"/>
              <w:rPr>
                <w:rFonts w:asciiTheme="minorHAnsi" w:hAnsiTheme="minorHAnsi" w:cstheme="minorHAnsi"/>
                <w:sz w:val="24"/>
                <w:szCs w:val="24"/>
              </w:rPr>
            </w:pPr>
            <w:r w:rsidRPr="007A4F01">
              <w:rPr>
                <w:rFonts w:asciiTheme="minorHAnsi" w:hAnsiTheme="minorHAnsi" w:cstheme="minorHAnsi"/>
                <w:bCs/>
                <w:sz w:val="24"/>
                <w:szCs w:val="24"/>
              </w:rPr>
              <w:t>The impact of Covid–19 on education, and on employment opportunities has been significant</w:t>
            </w:r>
            <w:r w:rsidRPr="007A4F01">
              <w:rPr>
                <w:rFonts w:asciiTheme="minorHAnsi" w:hAnsiTheme="minorHAnsi" w:cstheme="minorHAnsi"/>
                <w:sz w:val="24"/>
                <w:szCs w:val="24"/>
              </w:rPr>
              <w:t xml:space="preserve">, with the potential to make the current employment and skills problems and inequalities worse. </w:t>
            </w:r>
          </w:p>
          <w:p w14:paraId="24CE87F9" w14:textId="77777777" w:rsidR="007A4F01" w:rsidRPr="007A4F01" w:rsidRDefault="007A4F01" w:rsidP="007A4F01">
            <w:pPr>
              <w:pStyle w:val="ListParagraph"/>
              <w:numPr>
                <w:ilvl w:val="0"/>
                <w:numId w:val="1"/>
              </w:numPr>
              <w:spacing w:line="252" w:lineRule="auto"/>
              <w:rPr>
                <w:rFonts w:cstheme="minorHAnsi"/>
                <w:color w:val="455F7C"/>
                <w:sz w:val="24"/>
                <w:szCs w:val="24"/>
                <w:lang w:val="en"/>
              </w:rPr>
            </w:pPr>
            <w:r w:rsidRPr="007A4F01">
              <w:rPr>
                <w:rFonts w:cstheme="minorHAnsi"/>
                <w:sz w:val="24"/>
                <w:szCs w:val="24"/>
              </w:rPr>
              <w:t xml:space="preserve">1 in 4 young people are extremely worried about getting a job in the next 12 months.  </w:t>
            </w:r>
          </w:p>
          <w:p w14:paraId="2243336D" w14:textId="77777777" w:rsidR="007A4F01" w:rsidRPr="007A4F01" w:rsidRDefault="007A4F01" w:rsidP="007A4F01">
            <w:pPr>
              <w:pStyle w:val="ListParagraph"/>
              <w:numPr>
                <w:ilvl w:val="0"/>
                <w:numId w:val="1"/>
              </w:numPr>
              <w:spacing w:line="252" w:lineRule="auto"/>
              <w:rPr>
                <w:rFonts w:cstheme="minorHAnsi"/>
                <w:color w:val="455F7C"/>
                <w:sz w:val="24"/>
                <w:szCs w:val="24"/>
                <w:lang w:val="en"/>
              </w:rPr>
            </w:pPr>
            <w:r w:rsidRPr="007A4F01">
              <w:rPr>
                <w:rFonts w:cstheme="minorHAnsi"/>
                <w:sz w:val="24"/>
                <w:szCs w:val="24"/>
              </w:rPr>
              <w:t xml:space="preserve">Over 50% of young people stated that they are not at all or not very confident about building a professional career in the LCR in the next 12 months.   </w:t>
            </w:r>
          </w:p>
          <w:p w14:paraId="07189985" w14:textId="77777777" w:rsidR="007A4F01" w:rsidRPr="007A4F01" w:rsidRDefault="007A4F01" w:rsidP="007A4F01">
            <w:pPr>
              <w:spacing w:line="252" w:lineRule="auto"/>
              <w:rPr>
                <w:rFonts w:asciiTheme="minorHAnsi" w:hAnsiTheme="minorHAnsi" w:cstheme="minorHAnsi"/>
                <w:sz w:val="24"/>
                <w:szCs w:val="24"/>
              </w:rPr>
            </w:pPr>
            <w:r w:rsidRPr="007A4F01">
              <w:rPr>
                <w:rFonts w:asciiTheme="minorHAnsi" w:hAnsiTheme="minorHAnsi" w:cstheme="minorHAnsi"/>
                <w:sz w:val="24"/>
                <w:szCs w:val="24"/>
              </w:rPr>
              <w:t xml:space="preserve">The new White Paper, “Skills for Jobs Lifelong Learning for Opportunity and Growth” outlines that businesses and the education sector need to develop a shared approach to careers education and to develop career management skills and attributes.  </w:t>
            </w:r>
          </w:p>
          <w:p w14:paraId="55C62A47" w14:textId="77777777" w:rsidR="007A4F01" w:rsidRPr="007A4F01" w:rsidRDefault="007A4F01" w:rsidP="007A4F01">
            <w:pPr>
              <w:autoSpaceDE w:val="0"/>
              <w:autoSpaceDN w:val="0"/>
              <w:adjustRightInd w:val="0"/>
              <w:rPr>
                <w:rFonts w:asciiTheme="minorHAnsi" w:eastAsia="CIDFont+F6" w:hAnsiTheme="minorHAnsi" w:cstheme="minorHAnsi"/>
                <w:sz w:val="24"/>
                <w:szCs w:val="24"/>
              </w:rPr>
            </w:pPr>
            <w:r w:rsidRPr="007A4F01">
              <w:rPr>
                <w:rFonts w:asciiTheme="minorHAnsi" w:hAnsiTheme="minorHAnsi" w:cstheme="minorHAnsi"/>
                <w:sz w:val="24"/>
                <w:szCs w:val="24"/>
              </w:rPr>
              <w:t xml:space="preserve">Currently, </w:t>
            </w:r>
            <w:proofErr w:type="gramStart"/>
            <w:r w:rsidRPr="007A4F01">
              <w:rPr>
                <w:rFonts w:asciiTheme="minorHAnsi" w:hAnsiTheme="minorHAnsi" w:cstheme="minorHAnsi"/>
                <w:sz w:val="24"/>
                <w:szCs w:val="24"/>
              </w:rPr>
              <w:t>the majority of</w:t>
            </w:r>
            <w:proofErr w:type="gramEnd"/>
            <w:r w:rsidRPr="007A4F01">
              <w:rPr>
                <w:rFonts w:asciiTheme="minorHAnsi" w:hAnsiTheme="minorHAnsi" w:cstheme="minorHAnsi"/>
                <w:sz w:val="24"/>
                <w:szCs w:val="24"/>
              </w:rPr>
              <w:t xml:space="preserve"> businesses primarily engage with schools as part of their corporate social responsibility.  This is generally based upon relationships with school leaders and not systematic.  The view held by many employers is that business engagement is predominantly impeded by limited accessibility to schools and the time and resource capacity of </w:t>
            </w:r>
            <w:r w:rsidRPr="007A4F01">
              <w:rPr>
                <w:rFonts w:asciiTheme="minorHAnsi" w:hAnsiTheme="minorHAnsi" w:cstheme="minorHAnsi"/>
                <w:sz w:val="24"/>
                <w:szCs w:val="24"/>
              </w:rPr>
              <w:lastRenderedPageBreak/>
              <w:t>their business. The view from the employers is that businesses would value greater coordination and facilitation of engagement opportunities.</w:t>
            </w:r>
            <w:r w:rsidRPr="007A4F01">
              <w:rPr>
                <w:rFonts w:asciiTheme="minorHAnsi" w:eastAsia="CIDFont+F6" w:hAnsiTheme="minorHAnsi" w:cstheme="minorHAnsi"/>
                <w:sz w:val="24"/>
                <w:szCs w:val="24"/>
              </w:rPr>
              <w:t xml:space="preserve"> The research also showed that the employability skills of young people leaving school, is an area that needs addressing and further development. </w:t>
            </w:r>
          </w:p>
          <w:p w14:paraId="784D09F7" w14:textId="19AFF1A0" w:rsidR="007A4F01" w:rsidRPr="007A4F01" w:rsidRDefault="007A4F01" w:rsidP="007A4F01">
            <w:pPr>
              <w:spacing w:line="252" w:lineRule="auto"/>
              <w:rPr>
                <w:rFonts w:asciiTheme="minorHAnsi" w:hAnsiTheme="minorHAnsi" w:cstheme="minorHAnsi"/>
                <w:b/>
                <w:sz w:val="24"/>
                <w:szCs w:val="24"/>
              </w:rPr>
            </w:pPr>
            <w:r w:rsidRPr="007A4F01">
              <w:rPr>
                <w:rFonts w:asciiTheme="minorHAnsi" w:hAnsiTheme="minorHAnsi" w:cstheme="minorHAnsi"/>
                <w:sz w:val="24"/>
                <w:szCs w:val="24"/>
              </w:rPr>
              <w:t>LCC is aiming to address this with ‘A Liverpool Pathway to Work’ which is currently being piloted in 12 schools.</w:t>
            </w:r>
          </w:p>
          <w:p w14:paraId="30B883D0" w14:textId="77777777" w:rsidR="00B41777" w:rsidRPr="007A4F01" w:rsidRDefault="00B41777" w:rsidP="007A4F01">
            <w:pPr>
              <w:pStyle w:val="NoSpacing"/>
              <w:rPr>
                <w:rFonts w:asciiTheme="minorHAnsi" w:hAnsiTheme="minorHAnsi" w:cstheme="minorHAnsi"/>
                <w:b/>
                <w:szCs w:val="24"/>
              </w:rPr>
            </w:pPr>
          </w:p>
        </w:tc>
      </w:tr>
      <w:tr w:rsidR="00B41777" w14:paraId="32C155DF" w14:textId="77777777" w:rsidTr="00033AFE">
        <w:tc>
          <w:tcPr>
            <w:tcW w:w="1713" w:type="dxa"/>
          </w:tcPr>
          <w:p w14:paraId="39AA4A60" w14:textId="77777777" w:rsidR="00B41777" w:rsidRPr="00033AFE" w:rsidRDefault="00B41777" w:rsidP="00722685">
            <w:pPr>
              <w:pStyle w:val="NoSpacing"/>
              <w:rPr>
                <w:rFonts w:asciiTheme="minorHAnsi" w:hAnsiTheme="minorHAnsi" w:cstheme="minorHAnsi"/>
                <w:b/>
              </w:rPr>
            </w:pPr>
            <w:r w:rsidRPr="00033AFE">
              <w:rPr>
                <w:rFonts w:asciiTheme="minorHAnsi" w:hAnsiTheme="minorHAnsi" w:cstheme="minorHAnsi"/>
                <w:b/>
              </w:rPr>
              <w:lastRenderedPageBreak/>
              <w:t>11.20 – 11.35</w:t>
            </w:r>
          </w:p>
        </w:tc>
        <w:tc>
          <w:tcPr>
            <w:tcW w:w="7433" w:type="dxa"/>
          </w:tcPr>
          <w:p w14:paraId="7A782818" w14:textId="77777777" w:rsidR="00B41777" w:rsidRDefault="00B41777" w:rsidP="00722685">
            <w:pPr>
              <w:pStyle w:val="NoSpacing"/>
              <w:rPr>
                <w:rFonts w:asciiTheme="minorHAnsi" w:hAnsiTheme="minorHAnsi" w:cstheme="minorHAnsi"/>
                <w:b/>
              </w:rPr>
            </w:pPr>
            <w:r w:rsidRPr="00033AFE">
              <w:rPr>
                <w:rFonts w:asciiTheme="minorHAnsi" w:hAnsiTheme="minorHAnsi" w:cstheme="minorHAnsi"/>
                <w:b/>
              </w:rPr>
              <w:t>Discussion</w:t>
            </w:r>
          </w:p>
          <w:p w14:paraId="54F41473" w14:textId="57DDFE78" w:rsidR="007A4F01" w:rsidRPr="00033AFE" w:rsidRDefault="007A4F01" w:rsidP="00722685">
            <w:pPr>
              <w:pStyle w:val="NoSpacing"/>
              <w:rPr>
                <w:rFonts w:asciiTheme="minorHAnsi" w:hAnsiTheme="minorHAnsi" w:cstheme="minorHAnsi"/>
                <w:b/>
              </w:rPr>
            </w:pPr>
          </w:p>
        </w:tc>
      </w:tr>
      <w:tr w:rsidR="00B41777" w14:paraId="0249C18D" w14:textId="77777777" w:rsidTr="00033AFE">
        <w:tc>
          <w:tcPr>
            <w:tcW w:w="1713" w:type="dxa"/>
          </w:tcPr>
          <w:p w14:paraId="3E081A89" w14:textId="77777777" w:rsidR="00B41777" w:rsidRPr="00033AFE" w:rsidRDefault="00B41777" w:rsidP="00722685">
            <w:pPr>
              <w:pStyle w:val="NoSpacing"/>
              <w:rPr>
                <w:rFonts w:asciiTheme="minorHAnsi" w:hAnsiTheme="minorHAnsi" w:cstheme="minorHAnsi"/>
                <w:b/>
              </w:rPr>
            </w:pPr>
            <w:r w:rsidRPr="00033AFE">
              <w:rPr>
                <w:rFonts w:asciiTheme="minorHAnsi" w:hAnsiTheme="minorHAnsi" w:cstheme="minorHAnsi"/>
                <w:b/>
              </w:rPr>
              <w:t>11.35 – 11.50</w:t>
            </w:r>
          </w:p>
        </w:tc>
        <w:tc>
          <w:tcPr>
            <w:tcW w:w="7433" w:type="dxa"/>
          </w:tcPr>
          <w:p w14:paraId="54D3AE99" w14:textId="77777777" w:rsidR="00B41777" w:rsidRDefault="00B41777" w:rsidP="00722685">
            <w:pPr>
              <w:pStyle w:val="NoSpacing"/>
              <w:rPr>
                <w:rFonts w:asciiTheme="minorHAnsi" w:hAnsiTheme="minorHAnsi" w:cstheme="minorHAnsi"/>
                <w:b/>
              </w:rPr>
            </w:pPr>
            <w:r w:rsidRPr="00033AFE">
              <w:rPr>
                <w:rFonts w:asciiTheme="minorHAnsi" w:hAnsiTheme="minorHAnsi" w:cstheme="minorHAnsi"/>
                <w:b/>
              </w:rPr>
              <w:t>Break</w:t>
            </w:r>
          </w:p>
          <w:p w14:paraId="57EEE165" w14:textId="3A9DDA7D" w:rsidR="007A4F01" w:rsidRPr="00033AFE" w:rsidRDefault="007A4F01" w:rsidP="00722685">
            <w:pPr>
              <w:pStyle w:val="NoSpacing"/>
              <w:rPr>
                <w:rFonts w:asciiTheme="minorHAnsi" w:hAnsiTheme="minorHAnsi" w:cstheme="minorHAnsi"/>
                <w:b/>
              </w:rPr>
            </w:pPr>
          </w:p>
        </w:tc>
      </w:tr>
      <w:tr w:rsidR="00B41777" w14:paraId="0FE5521D" w14:textId="77777777" w:rsidTr="00033AFE">
        <w:trPr>
          <w:trHeight w:val="7175"/>
        </w:trPr>
        <w:tc>
          <w:tcPr>
            <w:tcW w:w="1713" w:type="dxa"/>
          </w:tcPr>
          <w:p w14:paraId="6292FA3D" w14:textId="77777777" w:rsidR="00B41777" w:rsidRPr="00033AFE" w:rsidRDefault="00B41777" w:rsidP="00722685">
            <w:pPr>
              <w:pStyle w:val="NoSpacing"/>
              <w:rPr>
                <w:rFonts w:asciiTheme="minorHAnsi" w:hAnsiTheme="minorHAnsi" w:cstheme="minorHAnsi"/>
                <w:b/>
              </w:rPr>
            </w:pPr>
            <w:r w:rsidRPr="00033AFE">
              <w:rPr>
                <w:rFonts w:asciiTheme="minorHAnsi" w:hAnsiTheme="minorHAnsi" w:cstheme="minorHAnsi"/>
                <w:b/>
              </w:rPr>
              <w:t xml:space="preserve">11.50 – 12.05 </w:t>
            </w:r>
          </w:p>
        </w:tc>
        <w:tc>
          <w:tcPr>
            <w:tcW w:w="7433" w:type="dxa"/>
          </w:tcPr>
          <w:p w14:paraId="3B96E2F5" w14:textId="77777777" w:rsidR="00B41777" w:rsidRPr="00033AFE" w:rsidRDefault="00B41777" w:rsidP="00B41777">
            <w:pPr>
              <w:pStyle w:val="NoSpacing"/>
              <w:rPr>
                <w:rFonts w:asciiTheme="minorHAnsi" w:hAnsiTheme="minorHAnsi" w:cstheme="minorHAnsi"/>
                <w:b/>
              </w:rPr>
            </w:pPr>
            <w:r w:rsidRPr="00033AFE">
              <w:rPr>
                <w:rFonts w:asciiTheme="minorHAnsi" w:hAnsiTheme="minorHAnsi" w:cstheme="minorHAnsi"/>
                <w:b/>
              </w:rPr>
              <w:t>Ask, Listen, Act - working together to inform the provision of Special Educational Needs and Disability support for children after the COVID-19 pandemic.</w:t>
            </w:r>
          </w:p>
          <w:p w14:paraId="268DB7F5" w14:textId="7681630F" w:rsidR="00B41777" w:rsidRPr="00033AFE" w:rsidRDefault="00B41777" w:rsidP="00722685">
            <w:pPr>
              <w:pStyle w:val="NoSpacing"/>
              <w:rPr>
                <w:rFonts w:asciiTheme="minorHAnsi" w:hAnsiTheme="minorHAnsi" w:cstheme="minorHAnsi"/>
              </w:rPr>
            </w:pPr>
            <w:r w:rsidRPr="00033AFE">
              <w:rPr>
                <w:rFonts w:asciiTheme="minorHAnsi" w:hAnsiTheme="minorHAnsi" w:cstheme="minorHAnsi"/>
              </w:rPr>
              <w:t>Dr Emma Ashworth</w:t>
            </w:r>
            <w:r w:rsidR="004339E5">
              <w:rPr>
                <w:rFonts w:asciiTheme="minorHAnsi" w:hAnsiTheme="minorHAnsi" w:cstheme="minorHAnsi"/>
              </w:rPr>
              <w:t xml:space="preserve"> (</w:t>
            </w:r>
            <w:r w:rsidRPr="00033AFE">
              <w:rPr>
                <w:rFonts w:asciiTheme="minorHAnsi" w:hAnsiTheme="minorHAnsi" w:cstheme="minorHAnsi"/>
              </w:rPr>
              <w:t xml:space="preserve">LJMU), Dr Joanna Kirkby (LJMU), Professor Lucy Bray (Edge Hill University) and Professor </w:t>
            </w:r>
            <w:proofErr w:type="spellStart"/>
            <w:r w:rsidRPr="00033AFE">
              <w:rPr>
                <w:rFonts w:asciiTheme="minorHAnsi" w:hAnsiTheme="minorHAnsi" w:cstheme="minorHAnsi"/>
              </w:rPr>
              <w:t>Amel</w:t>
            </w:r>
            <w:proofErr w:type="spellEnd"/>
            <w:r w:rsidRPr="00033AFE">
              <w:rPr>
                <w:rFonts w:asciiTheme="minorHAnsi" w:hAnsiTheme="minorHAnsi" w:cstheme="minorHAnsi"/>
              </w:rPr>
              <w:t xml:space="preserve"> </w:t>
            </w:r>
            <w:proofErr w:type="spellStart"/>
            <w:r w:rsidRPr="00033AFE">
              <w:rPr>
                <w:rFonts w:asciiTheme="minorHAnsi" w:hAnsiTheme="minorHAnsi" w:cstheme="minorHAnsi"/>
              </w:rPr>
              <w:t>Alghrani</w:t>
            </w:r>
            <w:proofErr w:type="spellEnd"/>
            <w:r w:rsidRPr="00033AFE">
              <w:rPr>
                <w:rFonts w:asciiTheme="minorHAnsi" w:hAnsiTheme="minorHAnsi" w:cstheme="minorHAnsi"/>
              </w:rPr>
              <w:t xml:space="preserve"> (University of Liverpool)</w:t>
            </w:r>
          </w:p>
          <w:p w14:paraId="25D6FB83" w14:textId="77777777" w:rsidR="00B41777" w:rsidRPr="00033AFE" w:rsidRDefault="00B41777" w:rsidP="00722685">
            <w:pPr>
              <w:pStyle w:val="NoSpacing"/>
              <w:rPr>
                <w:rFonts w:asciiTheme="minorHAnsi" w:hAnsiTheme="minorHAnsi" w:cstheme="minorHAnsi"/>
              </w:rPr>
            </w:pPr>
          </w:p>
          <w:p w14:paraId="437B8B55" w14:textId="77777777" w:rsidR="00B41777" w:rsidRPr="00033AFE" w:rsidRDefault="00B41777" w:rsidP="00B41777">
            <w:pPr>
              <w:pStyle w:val="NoSpacing"/>
              <w:rPr>
                <w:rFonts w:asciiTheme="minorHAnsi" w:hAnsiTheme="minorHAnsi" w:cstheme="minorHAnsi"/>
              </w:rPr>
            </w:pPr>
            <w:r w:rsidRPr="00033AFE">
              <w:rPr>
                <w:rFonts w:asciiTheme="minorHAnsi" w:hAnsiTheme="minorHAnsi" w:cstheme="minorHAnsi"/>
                <w:b/>
              </w:rPr>
              <w:t xml:space="preserve">Abstract: </w:t>
            </w:r>
            <w:r w:rsidRPr="00033AFE">
              <w:rPr>
                <w:rFonts w:asciiTheme="minorHAnsi" w:hAnsiTheme="minorHAnsi" w:cstheme="minorHAnsi"/>
              </w:rPr>
              <w:t>Prior to COVID-19, the education, health and social care provision for children and young people (CYP) with special educational needs and disabilities (SEND) was underfunded and often overlooked. The COVID-19 pandemic has exacerbated existing health and social inequalities for children and young people with SEND, particularly in relation to their mental health and access to essential services. The specific needs and experiences of children and young people with SEND and their families have been mainly overlooked in COVID-19 related research.</w:t>
            </w:r>
          </w:p>
          <w:p w14:paraId="759D254D" w14:textId="77777777" w:rsidR="00B41777" w:rsidRPr="00033AFE" w:rsidRDefault="00B41777" w:rsidP="00B41777">
            <w:pPr>
              <w:pStyle w:val="NoSpacing"/>
              <w:rPr>
                <w:rFonts w:asciiTheme="minorHAnsi" w:hAnsiTheme="minorHAnsi" w:cstheme="minorHAnsi"/>
                <w:b/>
              </w:rPr>
            </w:pPr>
            <w:r w:rsidRPr="00033AFE">
              <w:rPr>
                <w:rFonts w:asciiTheme="minorHAnsi" w:hAnsiTheme="minorHAnsi" w:cstheme="minorHAnsi"/>
              </w:rPr>
              <w:t xml:space="preserve"> </w:t>
            </w:r>
          </w:p>
          <w:p w14:paraId="28ACEA9E" w14:textId="77777777" w:rsidR="00B41777" w:rsidRPr="00033AFE" w:rsidRDefault="00B41777" w:rsidP="00B41777">
            <w:pPr>
              <w:pStyle w:val="NoSpacing"/>
              <w:rPr>
                <w:rFonts w:asciiTheme="minorHAnsi" w:hAnsiTheme="minorHAnsi" w:cstheme="minorHAnsi"/>
              </w:rPr>
            </w:pPr>
            <w:r w:rsidRPr="00033AFE">
              <w:rPr>
                <w:rFonts w:asciiTheme="minorHAnsi" w:hAnsiTheme="minorHAnsi" w:cstheme="minorHAnsi"/>
              </w:rPr>
              <w:t>The Ask, Listen, Act study is funded by the National Institute of Health Research (NIHR) Policy Research Programme to examine the perceptions, experiences, lessons learnt, and priorities of children and young people with SEND, their parents/carers, and key stakeholders. This presentation will provide a brief overview of the Ask, Listen, Act Study and how we have engaged with children and young people with SEND across the region to develop child-centred priorities to help shape national policy and practice.</w:t>
            </w:r>
          </w:p>
          <w:p w14:paraId="0CB17BC1" w14:textId="77777777" w:rsidR="00B41777" w:rsidRPr="00033AFE" w:rsidRDefault="00B41777" w:rsidP="00B41777">
            <w:pPr>
              <w:pStyle w:val="NoSpacing"/>
              <w:rPr>
                <w:rFonts w:asciiTheme="minorHAnsi" w:hAnsiTheme="minorHAnsi" w:cstheme="minorHAnsi"/>
                <w:b/>
              </w:rPr>
            </w:pPr>
          </w:p>
        </w:tc>
      </w:tr>
      <w:tr w:rsidR="00B41777" w14:paraId="30AD4862" w14:textId="77777777" w:rsidTr="00033AFE">
        <w:trPr>
          <w:trHeight w:val="4702"/>
        </w:trPr>
        <w:tc>
          <w:tcPr>
            <w:tcW w:w="1713" w:type="dxa"/>
          </w:tcPr>
          <w:p w14:paraId="6B8BE272" w14:textId="77777777" w:rsidR="00B41777" w:rsidRPr="00033AFE" w:rsidRDefault="00B41777" w:rsidP="00722685">
            <w:pPr>
              <w:pStyle w:val="NoSpacing"/>
              <w:rPr>
                <w:rFonts w:asciiTheme="minorHAnsi" w:hAnsiTheme="minorHAnsi" w:cstheme="minorHAnsi"/>
                <w:b/>
              </w:rPr>
            </w:pPr>
            <w:r w:rsidRPr="00033AFE">
              <w:rPr>
                <w:rFonts w:asciiTheme="minorHAnsi" w:hAnsiTheme="minorHAnsi" w:cstheme="minorHAnsi"/>
                <w:b/>
              </w:rPr>
              <w:lastRenderedPageBreak/>
              <w:t>12:05 – 12:20</w:t>
            </w:r>
          </w:p>
        </w:tc>
        <w:tc>
          <w:tcPr>
            <w:tcW w:w="7433" w:type="dxa"/>
          </w:tcPr>
          <w:p w14:paraId="707B2D4A" w14:textId="77777777" w:rsidR="00B41777" w:rsidRPr="00033AFE" w:rsidRDefault="00B41777" w:rsidP="00B41777">
            <w:pPr>
              <w:pStyle w:val="NoSpacing"/>
              <w:rPr>
                <w:rFonts w:asciiTheme="minorHAnsi" w:hAnsiTheme="minorHAnsi" w:cstheme="minorHAnsi"/>
                <w:b/>
              </w:rPr>
            </w:pPr>
            <w:r w:rsidRPr="00033AFE">
              <w:rPr>
                <w:rFonts w:asciiTheme="minorHAnsi" w:hAnsiTheme="minorHAnsi" w:cstheme="minorHAnsi"/>
                <w:b/>
              </w:rPr>
              <w:t xml:space="preserve">Moving towards participation with a purpose: confronting some serious tensions. </w:t>
            </w:r>
          </w:p>
          <w:p w14:paraId="40857614" w14:textId="3B316BF3" w:rsidR="00B41777" w:rsidRPr="00033AFE" w:rsidRDefault="00B41777" w:rsidP="00722685">
            <w:pPr>
              <w:pStyle w:val="NoSpacing"/>
              <w:rPr>
                <w:rFonts w:asciiTheme="minorHAnsi" w:hAnsiTheme="minorHAnsi" w:cstheme="minorHAnsi"/>
              </w:rPr>
            </w:pPr>
            <w:r w:rsidRPr="00033AFE">
              <w:rPr>
                <w:rFonts w:asciiTheme="minorHAnsi" w:hAnsiTheme="minorHAnsi" w:cstheme="minorHAnsi"/>
              </w:rPr>
              <w:t>Professor Helen Stalford</w:t>
            </w:r>
            <w:r w:rsidR="004339E5">
              <w:rPr>
                <w:rFonts w:asciiTheme="minorHAnsi" w:hAnsiTheme="minorHAnsi" w:cstheme="minorHAnsi"/>
              </w:rPr>
              <w:t xml:space="preserve">, </w:t>
            </w:r>
            <w:r w:rsidRPr="00033AFE">
              <w:rPr>
                <w:rFonts w:asciiTheme="minorHAnsi" w:hAnsiTheme="minorHAnsi" w:cstheme="minorHAnsi"/>
              </w:rPr>
              <w:t>University of Liverpool</w:t>
            </w:r>
          </w:p>
          <w:p w14:paraId="5B0FC364" w14:textId="77777777" w:rsidR="00B41777" w:rsidRPr="00033AFE" w:rsidRDefault="00B41777" w:rsidP="00722685">
            <w:pPr>
              <w:pStyle w:val="NoSpacing"/>
              <w:rPr>
                <w:rFonts w:asciiTheme="minorHAnsi" w:hAnsiTheme="minorHAnsi" w:cstheme="minorHAnsi"/>
              </w:rPr>
            </w:pPr>
          </w:p>
          <w:p w14:paraId="06C7C346" w14:textId="77777777" w:rsidR="00B41777" w:rsidRPr="00033AFE" w:rsidRDefault="00B41777" w:rsidP="00B41777">
            <w:pPr>
              <w:pStyle w:val="NoSpacing"/>
              <w:pBdr>
                <w:between w:val="single" w:sz="4" w:space="1" w:color="auto"/>
              </w:pBdr>
              <w:rPr>
                <w:rFonts w:asciiTheme="minorHAnsi" w:hAnsiTheme="minorHAnsi" w:cstheme="minorHAnsi"/>
              </w:rPr>
            </w:pPr>
            <w:r w:rsidRPr="00033AFE">
              <w:rPr>
                <w:rFonts w:asciiTheme="minorHAnsi" w:hAnsiTheme="minorHAnsi" w:cstheme="minorHAnsi"/>
                <w:b/>
              </w:rPr>
              <w:t xml:space="preserve">Abstract: </w:t>
            </w:r>
            <w:r w:rsidRPr="00033AFE">
              <w:rPr>
                <w:rFonts w:asciiTheme="minorHAnsi" w:hAnsiTheme="minorHAnsi" w:cstheme="minorHAnsi"/>
              </w:rPr>
              <w:t xml:space="preserve">Few would argue with the need to promote children’s voice and engagement in decision-making or in creating a child friendly city. However, there remain some serious obstacles to achieving active, impactful participation. Key questions that limit the extent to which participatory initiatives can result in real change include: how children individual wishes and interests can be reconciled with the wishes and interests of others living in any given community; how children’s wishes and interests can be reconciled with enormous public policy concerns around safety, security and health? Drawing on some concrete examples, this paper will illustrate the difficulties of achieving participation in </w:t>
            </w:r>
            <w:proofErr w:type="gramStart"/>
            <w:r w:rsidRPr="00033AFE">
              <w:rPr>
                <w:rFonts w:asciiTheme="minorHAnsi" w:hAnsiTheme="minorHAnsi" w:cstheme="minorHAnsi"/>
              </w:rPr>
              <w:t>practice, and</w:t>
            </w:r>
            <w:proofErr w:type="gramEnd"/>
            <w:r w:rsidRPr="00033AFE">
              <w:rPr>
                <w:rFonts w:asciiTheme="minorHAnsi" w:hAnsiTheme="minorHAnsi" w:cstheme="minorHAnsi"/>
              </w:rPr>
              <w:t xml:space="preserve"> suggest ways in which we can use children’s rights to resolve them.</w:t>
            </w:r>
          </w:p>
          <w:p w14:paraId="389B1625" w14:textId="77777777" w:rsidR="00B41777" w:rsidRPr="00033AFE" w:rsidRDefault="00B41777" w:rsidP="00B41777">
            <w:pPr>
              <w:pStyle w:val="NoSpacing"/>
              <w:rPr>
                <w:rFonts w:asciiTheme="minorHAnsi" w:hAnsiTheme="minorHAnsi" w:cstheme="minorHAnsi"/>
                <w:b/>
              </w:rPr>
            </w:pPr>
          </w:p>
        </w:tc>
      </w:tr>
      <w:tr w:rsidR="00B41777" w14:paraId="3755392C" w14:textId="77777777" w:rsidTr="00033AFE">
        <w:trPr>
          <w:trHeight w:val="4426"/>
        </w:trPr>
        <w:tc>
          <w:tcPr>
            <w:tcW w:w="1713" w:type="dxa"/>
          </w:tcPr>
          <w:p w14:paraId="02BEA143" w14:textId="77777777" w:rsidR="00B41777" w:rsidRPr="00033AFE" w:rsidRDefault="00B41777" w:rsidP="00722685">
            <w:pPr>
              <w:pStyle w:val="NoSpacing"/>
              <w:rPr>
                <w:rFonts w:asciiTheme="minorHAnsi" w:hAnsiTheme="minorHAnsi" w:cstheme="minorHAnsi"/>
                <w:b/>
              </w:rPr>
            </w:pPr>
            <w:r w:rsidRPr="00033AFE">
              <w:rPr>
                <w:rFonts w:asciiTheme="minorHAnsi" w:hAnsiTheme="minorHAnsi" w:cstheme="minorHAnsi"/>
                <w:b/>
              </w:rPr>
              <w:t>12.20 – 12.35</w:t>
            </w:r>
          </w:p>
        </w:tc>
        <w:tc>
          <w:tcPr>
            <w:tcW w:w="7433" w:type="dxa"/>
          </w:tcPr>
          <w:p w14:paraId="663D29A8" w14:textId="77777777" w:rsidR="00B41777" w:rsidRPr="00033AFE" w:rsidRDefault="00B41777" w:rsidP="00B41777">
            <w:pPr>
              <w:pStyle w:val="NoSpacing"/>
              <w:rPr>
                <w:rFonts w:asciiTheme="minorHAnsi" w:hAnsiTheme="minorHAnsi" w:cstheme="minorHAnsi"/>
                <w:b/>
              </w:rPr>
            </w:pPr>
            <w:r w:rsidRPr="00033AFE">
              <w:rPr>
                <w:rFonts w:asciiTheme="minorHAnsi" w:hAnsiTheme="minorHAnsi" w:cstheme="minorHAnsi"/>
                <w:b/>
              </w:rPr>
              <w:t xml:space="preserve">Schools as Sanctuary:  Examining resettlement of refugee and asylum seekers through UK education settings. </w:t>
            </w:r>
          </w:p>
          <w:p w14:paraId="5373F337" w14:textId="27EB2E52" w:rsidR="00B41777" w:rsidRPr="00033AFE" w:rsidRDefault="004339E5" w:rsidP="00722685">
            <w:pPr>
              <w:pStyle w:val="NoSpacing"/>
              <w:rPr>
                <w:rFonts w:asciiTheme="minorHAnsi" w:hAnsiTheme="minorHAnsi" w:cstheme="minorHAnsi"/>
              </w:rPr>
            </w:pPr>
            <w:r>
              <w:rPr>
                <w:rFonts w:asciiTheme="minorHAnsi" w:hAnsiTheme="minorHAnsi" w:cstheme="minorHAnsi"/>
              </w:rPr>
              <w:t xml:space="preserve">Dr </w:t>
            </w:r>
            <w:r w:rsidR="00B41777" w:rsidRPr="00033AFE">
              <w:rPr>
                <w:rFonts w:asciiTheme="minorHAnsi" w:hAnsiTheme="minorHAnsi" w:cstheme="minorHAnsi"/>
              </w:rPr>
              <w:t>Carly Bagelman</w:t>
            </w:r>
            <w:r>
              <w:rPr>
                <w:rFonts w:asciiTheme="minorHAnsi" w:hAnsiTheme="minorHAnsi" w:cstheme="minorHAnsi"/>
              </w:rPr>
              <w:t>,</w:t>
            </w:r>
            <w:r w:rsidR="00B41777" w:rsidRPr="00033AFE">
              <w:rPr>
                <w:rFonts w:asciiTheme="minorHAnsi" w:hAnsiTheme="minorHAnsi" w:cstheme="minorHAnsi"/>
              </w:rPr>
              <w:t xml:space="preserve"> Liverpool Hope University</w:t>
            </w:r>
          </w:p>
          <w:p w14:paraId="22466604" w14:textId="77777777" w:rsidR="00B41777" w:rsidRPr="00033AFE" w:rsidRDefault="00B41777" w:rsidP="00722685">
            <w:pPr>
              <w:pStyle w:val="NoSpacing"/>
              <w:rPr>
                <w:rFonts w:asciiTheme="minorHAnsi" w:hAnsiTheme="minorHAnsi" w:cstheme="minorHAnsi"/>
              </w:rPr>
            </w:pPr>
          </w:p>
          <w:p w14:paraId="01C4638D" w14:textId="77777777" w:rsidR="00B41777" w:rsidRPr="00033AFE" w:rsidRDefault="00B41777" w:rsidP="00B41777">
            <w:pPr>
              <w:pStyle w:val="NoSpacing"/>
              <w:rPr>
                <w:rFonts w:asciiTheme="minorHAnsi" w:hAnsiTheme="minorHAnsi" w:cstheme="minorHAnsi"/>
              </w:rPr>
            </w:pPr>
            <w:r w:rsidRPr="00033AFE">
              <w:rPr>
                <w:rFonts w:asciiTheme="minorHAnsi" w:hAnsiTheme="minorHAnsi" w:cstheme="minorHAnsi"/>
                <w:b/>
              </w:rPr>
              <w:t xml:space="preserve">Abstract: </w:t>
            </w:r>
            <w:r w:rsidRPr="00033AFE">
              <w:rPr>
                <w:rFonts w:asciiTheme="minorHAnsi" w:hAnsiTheme="minorHAnsi" w:cstheme="minorHAnsi"/>
              </w:rPr>
              <w:t xml:space="preserve">In working with displaced peoples in the UK such as asylum seekers, who live with instability and unpredictability as they resettle, educators are called to re-examine learning and teaching so that it is more responsive to this reality. In this session, </w:t>
            </w:r>
            <w:proofErr w:type="spellStart"/>
            <w:r w:rsidRPr="00033AFE">
              <w:rPr>
                <w:rFonts w:asciiTheme="minorHAnsi" w:hAnsiTheme="minorHAnsi" w:cstheme="minorHAnsi"/>
              </w:rPr>
              <w:t>Dr.</w:t>
            </w:r>
            <w:proofErr w:type="spellEnd"/>
            <w:r w:rsidRPr="00033AFE">
              <w:rPr>
                <w:rFonts w:asciiTheme="minorHAnsi" w:hAnsiTheme="minorHAnsi" w:cstheme="minorHAnsi"/>
              </w:rPr>
              <w:t xml:space="preserve"> Carly Bagelman will draw on the example of Liverpool's council-funded classroom for newly arrived children (ages 4-19) to highlight how learning and teaching can adapt to such precarity. Based on her observations in this space, and reflections of the teachers, she will outline some creative approaches to working with new arrivals. One of the approaches that this talk will focus on is the use of map making to ease resettlement and generate a sense of welcome.</w:t>
            </w:r>
          </w:p>
          <w:p w14:paraId="662BBF42" w14:textId="77777777" w:rsidR="00B41777" w:rsidRPr="00033AFE" w:rsidRDefault="00B41777" w:rsidP="00B41777">
            <w:pPr>
              <w:pStyle w:val="NoSpacing"/>
              <w:rPr>
                <w:rFonts w:asciiTheme="minorHAnsi" w:hAnsiTheme="minorHAnsi" w:cstheme="minorHAnsi"/>
                <w:b/>
              </w:rPr>
            </w:pPr>
          </w:p>
        </w:tc>
      </w:tr>
      <w:tr w:rsidR="00B41777" w14:paraId="330FF604" w14:textId="77777777" w:rsidTr="00033AFE">
        <w:tc>
          <w:tcPr>
            <w:tcW w:w="1713" w:type="dxa"/>
          </w:tcPr>
          <w:p w14:paraId="5B7F1091" w14:textId="77777777" w:rsidR="00B41777" w:rsidRPr="00033AFE" w:rsidRDefault="00B41777" w:rsidP="00722685">
            <w:pPr>
              <w:pStyle w:val="NoSpacing"/>
              <w:rPr>
                <w:rFonts w:asciiTheme="minorHAnsi" w:hAnsiTheme="minorHAnsi" w:cstheme="minorHAnsi"/>
                <w:b/>
              </w:rPr>
            </w:pPr>
            <w:r w:rsidRPr="00033AFE">
              <w:rPr>
                <w:rFonts w:asciiTheme="minorHAnsi" w:hAnsiTheme="minorHAnsi" w:cstheme="minorHAnsi"/>
                <w:b/>
              </w:rPr>
              <w:t>12.35 – 12.50</w:t>
            </w:r>
          </w:p>
        </w:tc>
        <w:tc>
          <w:tcPr>
            <w:tcW w:w="7433" w:type="dxa"/>
          </w:tcPr>
          <w:p w14:paraId="0F2FDF80" w14:textId="77777777" w:rsidR="00B41777" w:rsidRDefault="00B41777" w:rsidP="00722685">
            <w:pPr>
              <w:pStyle w:val="NoSpacing"/>
              <w:rPr>
                <w:rFonts w:asciiTheme="minorHAnsi" w:hAnsiTheme="minorHAnsi" w:cstheme="minorHAnsi"/>
                <w:b/>
              </w:rPr>
            </w:pPr>
            <w:r w:rsidRPr="00033AFE">
              <w:rPr>
                <w:rFonts w:asciiTheme="minorHAnsi" w:hAnsiTheme="minorHAnsi" w:cstheme="minorHAnsi"/>
                <w:b/>
              </w:rPr>
              <w:t>Discussion</w:t>
            </w:r>
          </w:p>
          <w:p w14:paraId="34AB84BC" w14:textId="6CD053E8" w:rsidR="007A4F01" w:rsidRPr="00033AFE" w:rsidRDefault="007A4F01" w:rsidP="00722685">
            <w:pPr>
              <w:pStyle w:val="NoSpacing"/>
              <w:rPr>
                <w:rFonts w:asciiTheme="minorHAnsi" w:hAnsiTheme="minorHAnsi" w:cstheme="minorHAnsi"/>
                <w:b/>
              </w:rPr>
            </w:pPr>
          </w:p>
        </w:tc>
      </w:tr>
      <w:tr w:rsidR="00B41777" w14:paraId="6A5C3B21" w14:textId="77777777" w:rsidTr="00033AFE">
        <w:tc>
          <w:tcPr>
            <w:tcW w:w="1713" w:type="dxa"/>
          </w:tcPr>
          <w:p w14:paraId="065DC981" w14:textId="77777777" w:rsidR="00B41777" w:rsidRPr="00033AFE" w:rsidRDefault="00B41777" w:rsidP="00722685">
            <w:pPr>
              <w:pStyle w:val="NoSpacing"/>
              <w:rPr>
                <w:rFonts w:asciiTheme="minorHAnsi" w:hAnsiTheme="minorHAnsi" w:cstheme="minorHAnsi"/>
                <w:b/>
              </w:rPr>
            </w:pPr>
            <w:r w:rsidRPr="00033AFE">
              <w:rPr>
                <w:rFonts w:asciiTheme="minorHAnsi" w:hAnsiTheme="minorHAnsi" w:cstheme="minorHAnsi"/>
                <w:b/>
              </w:rPr>
              <w:t>12.50 – 13.00</w:t>
            </w:r>
          </w:p>
        </w:tc>
        <w:tc>
          <w:tcPr>
            <w:tcW w:w="7433" w:type="dxa"/>
          </w:tcPr>
          <w:p w14:paraId="7BC26CAE" w14:textId="77777777" w:rsidR="00B41777" w:rsidRDefault="00B41777" w:rsidP="00722685">
            <w:pPr>
              <w:pStyle w:val="NoSpacing"/>
              <w:rPr>
                <w:rFonts w:asciiTheme="minorHAnsi" w:hAnsiTheme="minorHAnsi" w:cstheme="minorHAnsi"/>
                <w:b/>
              </w:rPr>
            </w:pPr>
            <w:r w:rsidRPr="00033AFE">
              <w:rPr>
                <w:rFonts w:asciiTheme="minorHAnsi" w:hAnsiTheme="minorHAnsi" w:cstheme="minorHAnsi"/>
                <w:b/>
              </w:rPr>
              <w:t>Closing remarks</w:t>
            </w:r>
          </w:p>
          <w:p w14:paraId="5708095E" w14:textId="78E81D8C" w:rsidR="007A4F01" w:rsidRPr="00033AFE" w:rsidRDefault="007A4F01" w:rsidP="00722685">
            <w:pPr>
              <w:pStyle w:val="NoSpacing"/>
              <w:rPr>
                <w:rFonts w:asciiTheme="minorHAnsi" w:hAnsiTheme="minorHAnsi" w:cstheme="minorHAnsi"/>
                <w:b/>
              </w:rPr>
            </w:pPr>
          </w:p>
        </w:tc>
      </w:tr>
    </w:tbl>
    <w:p w14:paraId="6F5554FA" w14:textId="77777777" w:rsidR="00CF75EE" w:rsidRDefault="00CF75EE" w:rsidP="00722685">
      <w:pPr>
        <w:pStyle w:val="NoSpacing"/>
      </w:pPr>
    </w:p>
    <w:sectPr w:rsidR="00CF75EE" w:rsidSect="000562F6">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4A1D3" w14:textId="77777777" w:rsidR="000562F6" w:rsidRDefault="000562F6" w:rsidP="000562F6">
      <w:r>
        <w:separator/>
      </w:r>
    </w:p>
  </w:endnote>
  <w:endnote w:type="continuationSeparator" w:id="0">
    <w:p w14:paraId="43DA6DDE" w14:textId="77777777" w:rsidR="000562F6" w:rsidRDefault="000562F6" w:rsidP="0005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altName w:val="Calibri"/>
    <w:charset w:val="00"/>
    <w:family w:val="auto"/>
    <w:pitch w:val="variable"/>
    <w:sig w:usb0="2000020F" w:usb1="00000003" w:usb2="00000000" w:usb3="00000000" w:csb0="00000197"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DB8E" w14:textId="77777777" w:rsidR="000562F6" w:rsidRDefault="000562F6" w:rsidP="000562F6">
      <w:r>
        <w:separator/>
      </w:r>
    </w:p>
  </w:footnote>
  <w:footnote w:type="continuationSeparator" w:id="0">
    <w:p w14:paraId="04953862" w14:textId="77777777" w:rsidR="000562F6" w:rsidRDefault="000562F6" w:rsidP="00056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B5D09" w14:textId="77777777" w:rsidR="000562F6" w:rsidRDefault="000562F6" w:rsidP="000562F6">
    <w:pPr>
      <w:pStyle w:val="Header"/>
      <w:jc w:val="right"/>
    </w:pPr>
    <w:r>
      <w:rPr>
        <w:noProof/>
      </w:rPr>
      <w:drawing>
        <wp:inline distT="0" distB="0" distL="0" distR="0" wp14:anchorId="42DA1D1F" wp14:editId="449C08A0">
          <wp:extent cx="1926590" cy="1200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590"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6531B"/>
    <w:multiLevelType w:val="hybridMultilevel"/>
    <w:tmpl w:val="D88C2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F6"/>
    <w:rsid w:val="00033AFE"/>
    <w:rsid w:val="000562F6"/>
    <w:rsid w:val="000F3143"/>
    <w:rsid w:val="004339E5"/>
    <w:rsid w:val="00722685"/>
    <w:rsid w:val="007357D5"/>
    <w:rsid w:val="007A4F01"/>
    <w:rsid w:val="00971F84"/>
    <w:rsid w:val="00B41777"/>
    <w:rsid w:val="00CF75EE"/>
    <w:rsid w:val="00F83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A50085"/>
  <w15:chartTrackingRefBased/>
  <w15:docId w15:val="{DB7F89E6-8E6E-49A8-A1F6-F83DDBE5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2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0562F6"/>
    <w:pPr>
      <w:tabs>
        <w:tab w:val="center" w:pos="4513"/>
        <w:tab w:val="right" w:pos="9026"/>
      </w:tabs>
    </w:pPr>
  </w:style>
  <w:style w:type="character" w:customStyle="1" w:styleId="HeaderChar">
    <w:name w:val="Header Char"/>
    <w:basedOn w:val="DefaultParagraphFont"/>
    <w:link w:val="Header"/>
    <w:uiPriority w:val="99"/>
    <w:rsid w:val="000562F6"/>
    <w:rPr>
      <w:rFonts w:ascii="Arial" w:hAnsi="Arial"/>
      <w:sz w:val="24"/>
    </w:rPr>
  </w:style>
  <w:style w:type="paragraph" w:styleId="Footer">
    <w:name w:val="footer"/>
    <w:basedOn w:val="Normal"/>
    <w:link w:val="FooterChar"/>
    <w:uiPriority w:val="99"/>
    <w:unhideWhenUsed/>
    <w:rsid w:val="000562F6"/>
    <w:pPr>
      <w:tabs>
        <w:tab w:val="center" w:pos="4513"/>
        <w:tab w:val="right" w:pos="9026"/>
      </w:tabs>
    </w:pPr>
  </w:style>
  <w:style w:type="character" w:customStyle="1" w:styleId="FooterChar">
    <w:name w:val="Footer Char"/>
    <w:basedOn w:val="DefaultParagraphFont"/>
    <w:link w:val="Footer"/>
    <w:uiPriority w:val="99"/>
    <w:rsid w:val="000562F6"/>
    <w:rPr>
      <w:rFonts w:ascii="Arial" w:hAnsi="Arial"/>
      <w:sz w:val="24"/>
    </w:rPr>
  </w:style>
  <w:style w:type="character" w:styleId="Hyperlink">
    <w:name w:val="Hyperlink"/>
    <w:basedOn w:val="DefaultParagraphFont"/>
    <w:uiPriority w:val="99"/>
    <w:unhideWhenUsed/>
    <w:rsid w:val="000562F6"/>
    <w:rPr>
      <w:color w:val="0563C1"/>
      <w:u w:val="single"/>
    </w:rPr>
  </w:style>
  <w:style w:type="table" w:styleId="TableGrid">
    <w:name w:val="Table Grid"/>
    <w:basedOn w:val="TableNormal"/>
    <w:uiPriority w:val="59"/>
    <w:unhideWhenUsed/>
    <w:rsid w:val="00056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1777"/>
    <w:rPr>
      <w:color w:val="808080"/>
      <w:shd w:val="clear" w:color="auto" w:fill="E6E6E6"/>
    </w:rPr>
  </w:style>
  <w:style w:type="paragraph" w:styleId="BalloonText">
    <w:name w:val="Balloon Text"/>
    <w:basedOn w:val="Normal"/>
    <w:link w:val="BalloonTextChar"/>
    <w:uiPriority w:val="99"/>
    <w:semiHidden/>
    <w:unhideWhenUsed/>
    <w:rsid w:val="00B41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777"/>
    <w:rPr>
      <w:rFonts w:ascii="Segoe UI" w:hAnsi="Segoe UI" w:cs="Segoe UI"/>
      <w:sz w:val="18"/>
      <w:szCs w:val="18"/>
    </w:rPr>
  </w:style>
  <w:style w:type="character" w:customStyle="1" w:styleId="ListParagraphChar">
    <w:name w:val="List Paragraph Char"/>
    <w:aliases w:val="LCC List Char,lev2 list Char,F5 List Paragraph Char,List Paragraph1 Char,List Paragraph11 Char,Dot pt Char,Colorful List - Accent 11 Char,No Spacing1 Char,List Paragraph Char Char Char Char,Indicator Text Char,Numbered Para 1 Char"/>
    <w:basedOn w:val="DefaultParagraphFont"/>
    <w:link w:val="ListParagraph"/>
    <w:uiPriority w:val="34"/>
    <w:locked/>
    <w:rsid w:val="007A4F01"/>
  </w:style>
  <w:style w:type="paragraph" w:styleId="ListParagraph">
    <w:name w:val="List Paragraph"/>
    <w:aliases w:val="LCC List,lev2 list,F5 List Paragraph,List Paragraph1,List Paragraph11,Dot pt,Colorful List - Accent 11,No Spacing1,List Paragraph Char Char Char,Indicator Text,Numbered Para 1,Bullet 1,Bullet Points,List Paragraph2,MAIN CONTENT,OBC Bullet"/>
    <w:basedOn w:val="Normal"/>
    <w:link w:val="ListParagraphChar"/>
    <w:uiPriority w:val="34"/>
    <w:qFormat/>
    <w:rsid w:val="007A4F01"/>
    <w:pPr>
      <w:spacing w:after="160" w:line="256" w:lineRule="auto"/>
      <w:ind w:left="720"/>
      <w:contextualSpacing/>
    </w:pPr>
    <w:rPr>
      <w:rFonts w:asciiTheme="minorHAnsi" w:hAnsiTheme="minorHAnsi" w:cstheme="minorBidi"/>
    </w:rPr>
  </w:style>
  <w:style w:type="paragraph" w:customStyle="1" w:styleId="Default">
    <w:name w:val="Default"/>
    <w:rsid w:val="007A4F01"/>
    <w:pPr>
      <w:autoSpaceDE w:val="0"/>
      <w:autoSpaceDN w:val="0"/>
      <w:adjustRightInd w:val="0"/>
      <w:spacing w:after="0" w:line="240" w:lineRule="auto"/>
    </w:pPr>
    <w:rPr>
      <w:rFonts w:ascii="Montserrat Light" w:hAnsi="Montserrat Light" w:cs="Montserrat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2279">
      <w:bodyDiv w:val="1"/>
      <w:marLeft w:val="0"/>
      <w:marRight w:val="0"/>
      <w:marTop w:val="0"/>
      <w:marBottom w:val="0"/>
      <w:divBdr>
        <w:top w:val="none" w:sz="0" w:space="0" w:color="auto"/>
        <w:left w:val="none" w:sz="0" w:space="0" w:color="auto"/>
        <w:bottom w:val="none" w:sz="0" w:space="0" w:color="auto"/>
        <w:right w:val="none" w:sz="0" w:space="0" w:color="auto"/>
      </w:divBdr>
    </w:div>
    <w:div w:id="196230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robinson@edgehill.ac.uk" TargetMode="External"/><Relationship Id="rId3" Type="http://schemas.openxmlformats.org/officeDocument/2006/relationships/settings" Target="settings.xml"/><Relationship Id="rId7" Type="http://schemas.openxmlformats.org/officeDocument/2006/relationships/hyperlink" Target="https://www.eventbrite.co.uk/e/adopting-a-child-friendly-city-approach-in-practice-across-liverpool-tickets-1922459217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1672</Words>
  <Characters>9535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Burns</dc:creator>
  <cp:keywords/>
  <dc:description/>
  <cp:lastModifiedBy>Megan Burns</cp:lastModifiedBy>
  <cp:revision>2</cp:revision>
  <dcterms:created xsi:type="dcterms:W3CDTF">2021-11-16T10:08:00Z</dcterms:created>
  <dcterms:modified xsi:type="dcterms:W3CDTF">2021-11-16T10:08:00Z</dcterms:modified>
</cp:coreProperties>
</file>