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8545" w14:textId="77777777" w:rsidR="005E5235" w:rsidRPr="00DD19B7" w:rsidRDefault="0088537C">
      <w:pPr>
        <w:rPr>
          <w:rFonts w:cstheme="minorHAnsi"/>
          <w:sz w:val="22"/>
          <w:szCs w:val="22"/>
        </w:rPr>
      </w:pPr>
      <w:r w:rsidRPr="00DD19B7">
        <w:rPr>
          <w:rFonts w:cstheme="minorHAnsi"/>
          <w:sz w:val="22"/>
          <w:szCs w:val="22"/>
        </w:rPr>
        <w:t>Call for abstracts</w:t>
      </w:r>
    </w:p>
    <w:p w14:paraId="7C91529F" w14:textId="77777777" w:rsidR="0088537C" w:rsidRPr="00DD19B7" w:rsidRDefault="0088537C">
      <w:pPr>
        <w:rPr>
          <w:rFonts w:cstheme="minorHAnsi"/>
          <w:sz w:val="22"/>
          <w:szCs w:val="22"/>
        </w:rPr>
      </w:pPr>
    </w:p>
    <w:p w14:paraId="6E1BA48E" w14:textId="77777777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11</w:t>
      </w:r>
      <w:r w:rsidRPr="001951F5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Annual Conference on Educational Research</w:t>
      </w:r>
    </w:p>
    <w:p w14:paraId="3584D319" w14:textId="77777777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Edge Hill University</w:t>
      </w:r>
    </w:p>
    <w:p w14:paraId="43A33522" w14:textId="58E2C08E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1</w:t>
      </w:r>
      <w:r w:rsidR="00DD510E">
        <w:rPr>
          <w:rFonts w:eastAsia="Times New Roman" w:cstheme="minorHAnsi"/>
          <w:b/>
          <w:color w:val="000000"/>
          <w:sz w:val="28"/>
          <w:szCs w:val="28"/>
        </w:rPr>
        <w:t>6</w:t>
      </w:r>
      <w:r>
        <w:rPr>
          <w:rFonts w:eastAsia="Times New Roman" w:cstheme="minorHAnsi"/>
          <w:b/>
          <w:color w:val="000000"/>
          <w:sz w:val="28"/>
          <w:szCs w:val="28"/>
        </w:rPr>
        <w:t>-17</w:t>
      </w:r>
      <w:r w:rsidRPr="001951F5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July, 2019</w:t>
      </w:r>
    </w:p>
    <w:p w14:paraId="673A2507" w14:textId="48E2FFBE" w:rsidR="001951F5" w:rsidRDefault="001951F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Ormskirk, Liverpool</w:t>
      </w:r>
    </w:p>
    <w:p w14:paraId="4779F603" w14:textId="2CDFB0B3" w:rsidR="00772C31" w:rsidRDefault="00772C31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14:paraId="43C224C4" w14:textId="77777777" w:rsidR="00772C31" w:rsidRPr="00772C31" w:rsidRDefault="00772C31" w:rsidP="00772C31">
      <w:pPr>
        <w:jc w:val="center"/>
        <w:rPr>
          <w:rFonts w:eastAsia="Times New Roman" w:cstheme="minorHAnsi"/>
          <w:i/>
          <w:color w:val="000000"/>
          <w:sz w:val="36"/>
          <w:szCs w:val="36"/>
        </w:rPr>
      </w:pPr>
      <w:r w:rsidRPr="00772C31">
        <w:rPr>
          <w:rFonts w:eastAsia="Times New Roman" w:cstheme="minorHAnsi"/>
          <w:i/>
          <w:color w:val="000000"/>
          <w:sz w:val="36"/>
          <w:szCs w:val="36"/>
        </w:rPr>
        <w:t xml:space="preserve">Beyond the Neoliberal University: </w:t>
      </w:r>
    </w:p>
    <w:p w14:paraId="640B54D0" w14:textId="1A4AD460" w:rsidR="00772C31" w:rsidRPr="00772C31" w:rsidRDefault="00772C31" w:rsidP="00772C31">
      <w:pPr>
        <w:jc w:val="center"/>
        <w:rPr>
          <w:rFonts w:eastAsia="Times New Roman" w:cstheme="minorHAnsi"/>
          <w:i/>
          <w:color w:val="000000"/>
          <w:sz w:val="36"/>
          <w:szCs w:val="36"/>
        </w:rPr>
      </w:pPr>
      <w:r w:rsidRPr="00772C31">
        <w:rPr>
          <w:rFonts w:eastAsia="Times New Roman" w:cstheme="minorHAnsi"/>
          <w:i/>
          <w:color w:val="000000"/>
          <w:sz w:val="36"/>
          <w:szCs w:val="36"/>
        </w:rPr>
        <w:t>Re-Thinking Higher Education</w:t>
      </w:r>
    </w:p>
    <w:p w14:paraId="1C8A942D" w14:textId="77777777" w:rsidR="00772C31" w:rsidRDefault="00772C31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</w:p>
    <w:p w14:paraId="5D8DE1C0" w14:textId="3BD74214" w:rsidR="005E5235" w:rsidRPr="001951F5" w:rsidRDefault="005E5235" w:rsidP="001951F5">
      <w:pPr>
        <w:jc w:val="center"/>
        <w:rPr>
          <w:rFonts w:eastAsia="Times New Roman" w:cstheme="minorHAnsi"/>
          <w:b/>
          <w:color w:val="000000"/>
          <w:sz w:val="28"/>
          <w:szCs w:val="28"/>
        </w:rPr>
      </w:pPr>
      <w:r>
        <w:rPr>
          <w:rFonts w:eastAsia="Times New Roman" w:cstheme="minorHAnsi"/>
          <w:b/>
          <w:color w:val="000000"/>
          <w:sz w:val="28"/>
          <w:szCs w:val="28"/>
        </w:rPr>
        <w:t>Deadline for abstracts: 15</w:t>
      </w:r>
      <w:r w:rsidRPr="005E5235">
        <w:rPr>
          <w:rFonts w:eastAsia="Times New Roman" w:cstheme="minorHAnsi"/>
          <w:b/>
          <w:color w:val="000000"/>
          <w:sz w:val="28"/>
          <w:szCs w:val="28"/>
          <w:vertAlign w:val="superscript"/>
        </w:rPr>
        <w:t>th</w:t>
      </w:r>
      <w:r>
        <w:rPr>
          <w:rFonts w:eastAsia="Times New Roman" w:cstheme="minorHAnsi"/>
          <w:b/>
          <w:color w:val="000000"/>
          <w:sz w:val="28"/>
          <w:szCs w:val="28"/>
        </w:rPr>
        <w:t xml:space="preserve"> April 2019</w:t>
      </w:r>
    </w:p>
    <w:p w14:paraId="3CAB68EA" w14:textId="6EC0B9FB" w:rsidR="001951F5" w:rsidRDefault="001C143F" w:rsidP="001C143F">
      <w:pPr>
        <w:jc w:val="center"/>
        <w:rPr>
          <w:rFonts w:eastAsia="Times New Roman" w:cstheme="minorHAnsi"/>
          <w:b/>
          <w:color w:val="000000"/>
          <w:sz w:val="22"/>
          <w:szCs w:val="22"/>
        </w:rPr>
      </w:pPr>
      <w:r>
        <w:fldChar w:fldCharType="begin"/>
      </w:r>
      <w:r>
        <w:instrText xml:space="preserve"> HYPERLINK "https://www.edgehill.ac.uk/education/research/acre-2019/" </w:instrText>
      </w:r>
      <w:r>
        <w:fldChar w:fldCharType="separate"/>
      </w:r>
      <w:r>
        <w:rPr>
          <w:rStyle w:val="Hyperlink"/>
        </w:rPr>
        <w:t>https://www.edgehill.ac.uk/education/research/acre-2019/</w:t>
      </w:r>
      <w:r>
        <w:fldChar w:fldCharType="end"/>
      </w:r>
      <w:bookmarkStart w:id="0" w:name="_GoBack"/>
      <w:bookmarkEnd w:id="0"/>
    </w:p>
    <w:p w14:paraId="16E4BE04" w14:textId="77777777" w:rsidR="001951F5" w:rsidRDefault="001951F5" w:rsidP="0088537C">
      <w:pPr>
        <w:rPr>
          <w:rFonts w:eastAsia="Times New Roman" w:cstheme="minorHAnsi"/>
          <w:b/>
          <w:color w:val="000000"/>
          <w:sz w:val="22"/>
          <w:szCs w:val="22"/>
        </w:rPr>
      </w:pPr>
    </w:p>
    <w:p w14:paraId="605A4D3C" w14:textId="77777777" w:rsidR="006457B2" w:rsidRPr="00DD19B7" w:rsidRDefault="006457B2" w:rsidP="0088537C">
      <w:pPr>
        <w:rPr>
          <w:rFonts w:eastAsia="Times New Roman" w:cstheme="minorHAnsi"/>
          <w:b/>
          <w:color w:val="000000"/>
          <w:sz w:val="22"/>
          <w:szCs w:val="22"/>
        </w:rPr>
      </w:pPr>
      <w:r w:rsidRPr="00DD19B7">
        <w:rPr>
          <w:rFonts w:eastAsia="Times New Roman" w:cstheme="minorHAnsi"/>
          <w:b/>
          <w:color w:val="000000"/>
          <w:sz w:val="22"/>
          <w:szCs w:val="22"/>
        </w:rPr>
        <w:t>The conference rationale</w:t>
      </w:r>
    </w:p>
    <w:p w14:paraId="0351CFF7" w14:textId="77777777" w:rsidR="008A2DAE" w:rsidRPr="00DD19B7" w:rsidRDefault="008A2DAE" w:rsidP="0088537C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Not since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the </w:t>
      </w:r>
      <w:r w:rsidRPr="00DD19B7">
        <w:rPr>
          <w:rFonts w:eastAsia="Times New Roman" w:cstheme="minorHAnsi"/>
          <w:color w:val="000000"/>
          <w:sz w:val="22"/>
          <w:szCs w:val="22"/>
        </w:rPr>
        <w:t>Robbins Report of 1963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>(</w:t>
      </w:r>
      <w:r w:rsidR="002D78AC" w:rsidRPr="00DD19B7">
        <w:rPr>
          <w:rFonts w:eastAsia="Times New Roman" w:cstheme="minorHAnsi"/>
          <w:i/>
          <w:color w:val="000000"/>
          <w:sz w:val="22"/>
          <w:szCs w:val="22"/>
        </w:rPr>
        <w:t>Higher Education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) 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has Britain stood back from the pressures of the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>day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 to reflect historically on the role of higher education. Robbins looked at all aspects of higher education, from funding to curriculum; from governance to teaching methods</w:t>
      </w:r>
      <w:r w:rsidR="00C60D6F" w:rsidRPr="00DD19B7">
        <w:rPr>
          <w:rFonts w:eastAsia="Times New Roman" w:cstheme="minorHAnsi"/>
          <w:color w:val="000000"/>
          <w:sz w:val="22"/>
          <w:szCs w:val="22"/>
        </w:rPr>
        <w:t>; from institutional status to the university’s impact on schooling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. Since then his vision for tertiary education has been bent and reshaped under the economic and political pressures of the day, but still survives.  </w:t>
      </w:r>
      <w:r w:rsidR="0058127A" w:rsidRPr="00DD19B7">
        <w:rPr>
          <w:rFonts w:eastAsia="Times New Roman" w:cstheme="minorHAnsi"/>
          <w:i/>
          <w:color w:val="000000"/>
          <w:sz w:val="22"/>
          <w:szCs w:val="22"/>
        </w:rPr>
        <w:t>‘All those qualified by ability and attainment – ‘</w:t>
      </w:r>
      <w:r w:rsidR="0058127A" w:rsidRPr="00DD19B7">
        <w:rPr>
          <w:rFonts w:eastAsia="Times New Roman" w:cstheme="minorHAnsi"/>
          <w:color w:val="000000"/>
          <w:sz w:val="22"/>
          <w:szCs w:val="22"/>
        </w:rPr>
        <w:t xml:space="preserve">. </w:t>
      </w:r>
    </w:p>
    <w:p w14:paraId="54B3FF7A" w14:textId="6F9AA5F1" w:rsidR="00BC4A66" w:rsidRDefault="0058127A" w:rsidP="00BC4A66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ab/>
        <w:t xml:space="preserve">Uniquely in the public sector, higher education has resisted the ideology of privatisation, but the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political 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cost has been high,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>paid in the currency of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commercialisation, corporatisation</w:t>
      </w:r>
      <w:r w:rsidR="00C60D6F" w:rsidRPr="00DD19B7">
        <w:rPr>
          <w:rFonts w:eastAsia="Times New Roman" w:cstheme="minorHAnsi"/>
          <w:color w:val="000000"/>
          <w:sz w:val="22"/>
          <w:szCs w:val="22"/>
        </w:rPr>
        <w:t xml:space="preserve"> and competition - and a tightening grip of centralised accountability. Not so much ‘liquefaction’ as ‘calcification’. </w:t>
      </w:r>
      <w:proofErr w:type="gramStart"/>
      <w:r w:rsidR="005165F7" w:rsidRPr="00DD19B7">
        <w:rPr>
          <w:rFonts w:eastAsia="Times New Roman" w:cstheme="minorHAnsi"/>
          <w:color w:val="000000"/>
          <w:sz w:val="22"/>
          <w:szCs w:val="22"/>
        </w:rPr>
        <w:t>All of</w:t>
      </w:r>
      <w:proofErr w:type="gramEnd"/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 these impact on our intellectual practice</w:t>
      </w:r>
      <w:r w:rsidR="001951F5">
        <w:rPr>
          <w:rFonts w:eastAsia="Times New Roman" w:cstheme="minorHAnsi"/>
          <w:color w:val="000000"/>
          <w:sz w:val="22"/>
          <w:szCs w:val="22"/>
        </w:rPr>
        <w:t>s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="00FA63C1" w:rsidRPr="00DD19B7">
        <w:rPr>
          <w:rFonts w:eastAsia="Times New Roman" w:cstheme="minorHAnsi"/>
          <w:color w:val="000000"/>
          <w:sz w:val="22"/>
          <w:szCs w:val="22"/>
        </w:rPr>
        <w:t xml:space="preserve">sometimes helpfully, often less so - 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but </w:t>
      </w:r>
      <w:r w:rsidR="00FA63C1" w:rsidRPr="00DD19B7">
        <w:rPr>
          <w:rFonts w:eastAsia="Times New Roman" w:cstheme="minorHAnsi"/>
          <w:color w:val="000000"/>
          <w:sz w:val="22"/>
          <w:szCs w:val="22"/>
        </w:rPr>
        <w:t>too often in arbitrary and under-theorised ways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1951F5">
        <w:rPr>
          <w:rFonts w:eastAsia="Times New Roman" w:cstheme="minorHAnsi"/>
          <w:color w:val="000000"/>
          <w:sz w:val="22"/>
          <w:szCs w:val="22"/>
        </w:rPr>
        <w:t xml:space="preserve">Meanwhile, our country faces challenges that demand a concerted review of the nature and role of higher education: </w:t>
      </w:r>
      <w:r w:rsidR="001951F5" w:rsidRPr="001951F5">
        <w:rPr>
          <w:rFonts w:eastAsia="Times New Roman" w:cstheme="minorHAnsi"/>
          <w:color w:val="000000"/>
          <w:sz w:val="22"/>
          <w:szCs w:val="22"/>
        </w:rPr>
        <w:t>the status of knowledge, the collapse of the post-war consensus on professionalism and public values,</w:t>
      </w:r>
      <w:r w:rsidR="001951F5">
        <w:rPr>
          <w:rFonts w:eastAsia="Times New Roman" w:cstheme="minorHAnsi"/>
          <w:color w:val="000000"/>
          <w:sz w:val="22"/>
          <w:szCs w:val="22"/>
          <w:u w:val="single"/>
        </w:rPr>
        <w:t xml:space="preserve"> </w:t>
      </w:r>
      <w:r w:rsidR="001951F5">
        <w:rPr>
          <w:rFonts w:eastAsia="Times New Roman" w:cstheme="minorHAnsi"/>
          <w:color w:val="000000"/>
          <w:sz w:val="22"/>
          <w:szCs w:val="22"/>
        </w:rPr>
        <w:t xml:space="preserve">the quality of the nation’s workforce and shifting norms for equity and rights. </w:t>
      </w:r>
      <w:r w:rsidR="00C60D6F" w:rsidRPr="00DD19B7">
        <w:rPr>
          <w:rFonts w:eastAsia="Times New Roman" w:cstheme="minorHAnsi"/>
          <w:color w:val="000000"/>
          <w:sz w:val="22"/>
          <w:szCs w:val="22"/>
        </w:rPr>
        <w:t xml:space="preserve">Robbins was published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more than half a century ago and no longer provides a philosophy or a 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practical </w:t>
      </w:r>
      <w:r w:rsidR="002D78AC" w:rsidRPr="00DD19B7">
        <w:rPr>
          <w:rFonts w:eastAsia="Times New Roman" w:cstheme="minorHAnsi"/>
          <w:color w:val="000000"/>
          <w:sz w:val="22"/>
          <w:szCs w:val="22"/>
        </w:rPr>
        <w:t xml:space="preserve">political guide to match higher education to contemporary social change. </w:t>
      </w:r>
      <w:r w:rsidR="00772C31" w:rsidRPr="005E5235">
        <w:rPr>
          <w:rFonts w:eastAsia="Times New Roman" w:cstheme="minorHAnsi"/>
          <w:color w:val="000000"/>
          <w:sz w:val="22"/>
          <w:szCs w:val="22"/>
        </w:rPr>
        <w:t>We practice in a context where there is a need for more political and philosophical engagement around HE, a</w:t>
      </w:r>
      <w:r w:rsidR="00BC4A66" w:rsidRPr="005E5235">
        <w:rPr>
          <w:rFonts w:eastAsia="Times New Roman" w:cstheme="minorHAnsi"/>
          <w:color w:val="000000"/>
          <w:sz w:val="22"/>
          <w:szCs w:val="22"/>
        </w:rPr>
        <w:t>ccordingly The Faculty of Education</w:t>
      </w:r>
      <w:r w:rsidR="002D78AC" w:rsidRPr="005E5235">
        <w:rPr>
          <w:rFonts w:eastAsia="Times New Roman" w:cstheme="minorHAnsi"/>
          <w:color w:val="000000"/>
          <w:sz w:val="22"/>
          <w:szCs w:val="22"/>
        </w:rPr>
        <w:t>’s 11</w:t>
      </w:r>
      <w:r w:rsidR="002D78AC" w:rsidRPr="005E5235">
        <w:rPr>
          <w:rFonts w:eastAsia="Times New Roman" w:cstheme="minorHAnsi"/>
          <w:color w:val="000000"/>
          <w:sz w:val="22"/>
          <w:szCs w:val="22"/>
          <w:vertAlign w:val="superscript"/>
        </w:rPr>
        <w:t>th</w:t>
      </w:r>
      <w:r w:rsidR="002D78AC" w:rsidRPr="005E5235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2D78AC" w:rsidRPr="005E5235">
        <w:rPr>
          <w:rFonts w:eastAsia="Times New Roman" w:cstheme="minorHAnsi"/>
          <w:i/>
          <w:color w:val="000000"/>
          <w:sz w:val="22"/>
          <w:szCs w:val="22"/>
        </w:rPr>
        <w:t>Annual Conference on Research in Education</w:t>
      </w:r>
      <w:r w:rsidR="002D78AC" w:rsidRPr="005E5235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BC4A66" w:rsidRPr="005E5235">
        <w:rPr>
          <w:rFonts w:eastAsia="Times New Roman" w:cstheme="minorHAnsi"/>
          <w:color w:val="000000"/>
          <w:sz w:val="22"/>
          <w:szCs w:val="22"/>
        </w:rPr>
        <w:t>seeks to provides a forum for exploring principal themes.</w:t>
      </w:r>
    </w:p>
    <w:p w14:paraId="26C74A08" w14:textId="77777777" w:rsidR="005E5235" w:rsidRDefault="005E5235" w:rsidP="00BC4A66">
      <w:pPr>
        <w:rPr>
          <w:rFonts w:eastAsia="Times New Roman" w:cstheme="minorHAnsi"/>
          <w:color w:val="000000"/>
          <w:sz w:val="22"/>
          <w:szCs w:val="22"/>
        </w:rPr>
      </w:pPr>
    </w:p>
    <w:p w14:paraId="4E6FEC09" w14:textId="2D273850" w:rsidR="002D78AC" w:rsidRPr="00DD19B7" w:rsidRDefault="002D78AC" w:rsidP="0088537C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The conference is hosted by Edge Hill University’s </w:t>
      </w:r>
      <w:r w:rsidRPr="00DD19B7">
        <w:rPr>
          <w:rFonts w:eastAsia="Times New Roman" w:cstheme="minorHAnsi"/>
          <w:i/>
          <w:color w:val="000000"/>
          <w:sz w:val="22"/>
          <w:szCs w:val="22"/>
        </w:rPr>
        <w:t>Higher Education Research Unit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and its </w:t>
      </w:r>
      <w:r w:rsidR="005165F7" w:rsidRPr="00DD19B7">
        <w:rPr>
          <w:rFonts w:eastAsia="Times New Roman" w:cstheme="minorHAnsi"/>
          <w:i/>
          <w:color w:val="000000"/>
          <w:sz w:val="22"/>
          <w:szCs w:val="22"/>
        </w:rPr>
        <w:t>Social Justice Research Group</w:t>
      </w:r>
      <w:r w:rsidR="005165F7" w:rsidRPr="00DD19B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6457B2" w:rsidRPr="00DD19B7">
        <w:rPr>
          <w:rFonts w:eastAsia="Times New Roman" w:cstheme="minorHAnsi"/>
          <w:color w:val="000000"/>
          <w:sz w:val="22"/>
          <w:szCs w:val="22"/>
        </w:rPr>
        <w:t>Our aim is to publish, in some format, a position statement on the state of higher education in its many aspects along with proposals for the future.</w:t>
      </w:r>
    </w:p>
    <w:p w14:paraId="36BEFE9F" w14:textId="77777777" w:rsidR="008A2DAE" w:rsidRPr="00DD19B7" w:rsidRDefault="008A2DAE" w:rsidP="0088537C">
      <w:pPr>
        <w:rPr>
          <w:rFonts w:eastAsia="Times New Roman" w:cstheme="minorHAnsi"/>
          <w:color w:val="000000"/>
          <w:sz w:val="22"/>
          <w:szCs w:val="22"/>
        </w:rPr>
      </w:pPr>
    </w:p>
    <w:p w14:paraId="583ADC12" w14:textId="77777777" w:rsidR="008A2DAE" w:rsidRPr="00DD19B7" w:rsidRDefault="006457B2" w:rsidP="0088537C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b/>
          <w:color w:val="000000"/>
          <w:sz w:val="22"/>
          <w:szCs w:val="22"/>
        </w:rPr>
        <w:t>The Invitation</w:t>
      </w:r>
    </w:p>
    <w:p w14:paraId="0BFCAD4B" w14:textId="14BA3148" w:rsidR="005E5235" w:rsidRDefault="005E5235" w:rsidP="005E5235">
      <w:pPr>
        <w:rPr>
          <w:rFonts w:eastAsia="Times New Roman" w:cstheme="minorHAnsi"/>
          <w:color w:val="000000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We invite you to submit proposals for a contribution you would like to make to this conference. This may take the form of a formal presentatio</w:t>
      </w:r>
      <w:r>
        <w:rPr>
          <w:rFonts w:eastAsia="Times New Roman" w:cstheme="minorHAnsi"/>
          <w:color w:val="000000"/>
          <w:sz w:val="22"/>
          <w:szCs w:val="22"/>
        </w:rPr>
        <w:t xml:space="preserve">n of a paper, a symposium theme, </w:t>
      </w:r>
      <w:r w:rsidRPr="00DD19B7">
        <w:rPr>
          <w:rFonts w:eastAsia="Times New Roman" w:cstheme="minorHAnsi"/>
          <w:color w:val="000000"/>
          <w:sz w:val="22"/>
          <w:szCs w:val="22"/>
        </w:rPr>
        <w:t>a ‘provocation’, which we define as a challenging set of issues or questions</w:t>
      </w:r>
      <w:r>
        <w:rPr>
          <w:rFonts w:eastAsia="Times New Roman" w:cstheme="minorHAnsi"/>
          <w:color w:val="000000"/>
          <w:sz w:val="22"/>
          <w:szCs w:val="22"/>
        </w:rPr>
        <w:t xml:space="preserve"> or a poster presentation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. We </w:t>
      </w:r>
      <w:r>
        <w:rPr>
          <w:rFonts w:eastAsia="Times New Roman" w:cstheme="minorHAnsi"/>
          <w:color w:val="000000"/>
          <w:sz w:val="22"/>
          <w:szCs w:val="22"/>
        </w:rPr>
        <w:t>intend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to structure the event as much as a sustained conversation and </w:t>
      </w:r>
      <w:r>
        <w:rPr>
          <w:rFonts w:eastAsia="Times New Roman" w:cstheme="minorHAnsi"/>
          <w:color w:val="000000"/>
          <w:sz w:val="22"/>
          <w:szCs w:val="22"/>
        </w:rPr>
        <w:t>critique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, as a platform for authored presentations. You are encouraged to be flexible and creative, though precise, in how you frame your contribution. Proposals should contain </w:t>
      </w:r>
      <w:r>
        <w:rPr>
          <w:rFonts w:eastAsia="Times New Roman" w:cstheme="minorHAnsi"/>
          <w:color w:val="000000"/>
          <w:sz w:val="22"/>
          <w:szCs w:val="22"/>
        </w:rPr>
        <w:t>between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</w:rPr>
        <w:t>250-300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 words. </w:t>
      </w:r>
      <w:r>
        <w:rPr>
          <w:rFonts w:eastAsia="Times New Roman" w:cstheme="minorHAnsi"/>
          <w:color w:val="000000"/>
          <w:sz w:val="22"/>
          <w:szCs w:val="22"/>
        </w:rPr>
        <w:t xml:space="preserve">Symposia sessions should be a group of shorter papers on a chosen theme, maximum five participants.  We anticipate that individual papers in the formal panel sessions will be not more than 20 minutes. </w:t>
      </w:r>
      <w:r w:rsidR="00734307">
        <w:rPr>
          <w:rFonts w:eastAsia="Times New Roman" w:cstheme="minorHAnsi"/>
          <w:color w:val="000000"/>
          <w:sz w:val="22"/>
          <w:szCs w:val="22"/>
        </w:rPr>
        <w:t>Posters are also welcome.</w:t>
      </w:r>
    </w:p>
    <w:p w14:paraId="217EA11F" w14:textId="77777777" w:rsidR="00391CFE" w:rsidRPr="00DD19B7" w:rsidRDefault="00391CFE" w:rsidP="0088537C">
      <w:pPr>
        <w:rPr>
          <w:rFonts w:eastAsia="Times New Roman" w:cstheme="minorHAnsi"/>
          <w:color w:val="000000"/>
          <w:sz w:val="22"/>
          <w:szCs w:val="22"/>
        </w:rPr>
      </w:pPr>
    </w:p>
    <w:p w14:paraId="11F7EDF1" w14:textId="6FA0AFC5" w:rsidR="00DD19B7" w:rsidRDefault="005E5235" w:rsidP="00DD19B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Curriculum and k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nowl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ed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 xml:space="preserve">ge </w:t>
      </w:r>
      <w:r>
        <w:rPr>
          <w:rFonts w:eastAsia="Times New Roman" w:cstheme="minorHAnsi"/>
          <w:color w:val="000000"/>
          <w:sz w:val="22"/>
          <w:szCs w:val="22"/>
        </w:rPr>
        <w:t>m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anagement</w:t>
      </w:r>
    </w:p>
    <w:p w14:paraId="6F6FFB8F" w14:textId="0331C8A2" w:rsidR="00DD19B7" w:rsidRPr="00DD19B7" w:rsidRDefault="005E5235" w:rsidP="00DD19B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Community and university e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ngagement </w:t>
      </w:r>
    </w:p>
    <w:p w14:paraId="361281F4" w14:textId="77777777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 xml:space="preserve">The life of the intellectual practitioner </w:t>
      </w:r>
    </w:p>
    <w:p w14:paraId="7F1041C8" w14:textId="77777777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Internationalism</w:t>
      </w:r>
    </w:p>
    <w:p w14:paraId="2DB89530" w14:textId="09A0840A" w:rsidR="00DD19B7" w:rsidRPr="00DD19B7" w:rsidRDefault="005E5235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Access and w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idening</w:t>
      </w:r>
      <w:r>
        <w:rPr>
          <w:rFonts w:eastAsia="Times New Roman" w:cstheme="minorHAnsi"/>
          <w:color w:val="000000"/>
          <w:sz w:val="22"/>
          <w:szCs w:val="22"/>
        </w:rPr>
        <w:t>/n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arrowing</w:t>
      </w:r>
      <w:r>
        <w:rPr>
          <w:rFonts w:eastAsia="Times New Roman" w:cstheme="minorHAnsi"/>
          <w:color w:val="000000"/>
          <w:sz w:val="22"/>
          <w:szCs w:val="22"/>
        </w:rPr>
        <w:t xml:space="preserve"> p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articipation</w:t>
      </w:r>
    </w:p>
    <w:p w14:paraId="1D400BE9" w14:textId="3118DCF9" w:rsidR="00DD19B7" w:rsidRPr="00DD19B7" w:rsidRDefault="0088537C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Governance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,</w:t>
      </w:r>
      <w:r w:rsidR="005E5235">
        <w:rPr>
          <w:rFonts w:eastAsia="Times New Roman" w:cstheme="minorHAnsi"/>
          <w:color w:val="000000"/>
          <w:sz w:val="22"/>
          <w:szCs w:val="22"/>
        </w:rPr>
        <w:t xml:space="preserve"> a</w:t>
      </w:r>
      <w:r w:rsidRPr="00DD19B7">
        <w:rPr>
          <w:rFonts w:eastAsia="Times New Roman" w:cstheme="minorHAnsi"/>
          <w:color w:val="000000"/>
          <w:sz w:val="22"/>
          <w:szCs w:val="22"/>
        </w:rPr>
        <w:t>ccountability</w:t>
      </w:r>
      <w:r w:rsidR="005E5235">
        <w:rPr>
          <w:rFonts w:eastAsia="Times New Roman" w:cstheme="minorHAnsi"/>
          <w:color w:val="000000"/>
          <w:sz w:val="22"/>
          <w:szCs w:val="22"/>
        </w:rPr>
        <w:t xml:space="preserve"> and c</w:t>
      </w:r>
      <w:r w:rsidR="00391CFE" w:rsidRPr="00DD19B7">
        <w:rPr>
          <w:rFonts w:eastAsia="Times New Roman" w:cstheme="minorHAnsi"/>
          <w:color w:val="000000"/>
          <w:sz w:val="22"/>
          <w:szCs w:val="22"/>
        </w:rPr>
        <w:t>ontrol</w:t>
      </w:r>
    </w:p>
    <w:p w14:paraId="3D15A956" w14:textId="77777777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proofErr w:type="spellStart"/>
      <w:r w:rsidRPr="00DD19B7">
        <w:rPr>
          <w:rFonts w:eastAsia="Times New Roman" w:cstheme="minorHAnsi"/>
          <w:color w:val="000000"/>
          <w:sz w:val="22"/>
          <w:szCs w:val="22"/>
        </w:rPr>
        <w:t>Clientism</w:t>
      </w:r>
      <w:proofErr w:type="spellEnd"/>
      <w:r w:rsidRPr="00DD19B7">
        <w:rPr>
          <w:rFonts w:eastAsia="Times New Roman" w:cstheme="minorHAnsi"/>
          <w:color w:val="000000"/>
          <w:sz w:val="22"/>
          <w:szCs w:val="22"/>
        </w:rPr>
        <w:t xml:space="preserve">, consumerism and ethics in pedagogical relationships </w:t>
      </w:r>
    </w:p>
    <w:p w14:paraId="030E0ADC" w14:textId="07A80DDB" w:rsidR="00DD19B7" w:rsidRPr="00DD19B7" w:rsidRDefault="00DD19B7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DD19B7">
        <w:rPr>
          <w:rFonts w:eastAsia="Times New Roman" w:cstheme="minorHAnsi"/>
          <w:color w:val="000000"/>
          <w:sz w:val="22"/>
          <w:szCs w:val="22"/>
        </w:rPr>
        <w:t>Eval</w:t>
      </w:r>
      <w:r w:rsidR="005E5235">
        <w:rPr>
          <w:rFonts w:eastAsia="Times New Roman" w:cstheme="minorHAnsi"/>
          <w:color w:val="000000"/>
          <w:sz w:val="22"/>
          <w:szCs w:val="22"/>
        </w:rPr>
        <w:t>uation, accountability and the s</w:t>
      </w:r>
      <w:r w:rsidRPr="00DD19B7">
        <w:rPr>
          <w:rFonts w:eastAsia="Times New Roman" w:cstheme="minorHAnsi"/>
          <w:color w:val="000000"/>
          <w:sz w:val="22"/>
          <w:szCs w:val="22"/>
        </w:rPr>
        <w:t xml:space="preserve">earch for </w:t>
      </w:r>
      <w:r w:rsidR="005E5235">
        <w:rPr>
          <w:rFonts w:eastAsia="Times New Roman" w:cstheme="minorHAnsi"/>
          <w:color w:val="000000"/>
          <w:sz w:val="22"/>
          <w:szCs w:val="22"/>
        </w:rPr>
        <w:t>e</w:t>
      </w:r>
      <w:r>
        <w:rPr>
          <w:rFonts w:eastAsia="Times New Roman" w:cstheme="minorHAnsi"/>
          <w:color w:val="000000"/>
          <w:sz w:val="22"/>
          <w:szCs w:val="22"/>
        </w:rPr>
        <w:t xml:space="preserve">ducational </w:t>
      </w:r>
      <w:r w:rsidR="005E5235">
        <w:rPr>
          <w:rFonts w:eastAsia="Times New Roman" w:cstheme="minorHAnsi"/>
          <w:color w:val="000000"/>
          <w:sz w:val="22"/>
          <w:szCs w:val="22"/>
        </w:rPr>
        <w:t>q</w:t>
      </w:r>
      <w:r w:rsidRPr="00DD19B7">
        <w:rPr>
          <w:rFonts w:eastAsia="Times New Roman" w:cstheme="minorHAnsi"/>
          <w:color w:val="000000"/>
          <w:sz w:val="22"/>
          <w:szCs w:val="22"/>
        </w:rPr>
        <w:t>uality</w:t>
      </w:r>
    </w:p>
    <w:p w14:paraId="4CC33964" w14:textId="575314DA" w:rsidR="00DD19B7" w:rsidRPr="00DD19B7" w:rsidRDefault="005E5235" w:rsidP="00DD19B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Competing a</w:t>
      </w:r>
      <w:r w:rsidR="00DD19B7" w:rsidRPr="00DD19B7">
        <w:rPr>
          <w:rFonts w:eastAsia="Times New Roman" w:cstheme="minorHAnsi"/>
          <w:color w:val="000000"/>
          <w:sz w:val="22"/>
          <w:szCs w:val="22"/>
        </w:rPr>
        <w:t xml:space="preserve">pproaches to </w:t>
      </w:r>
      <w:r>
        <w:rPr>
          <w:rFonts w:eastAsia="Times New Roman" w:cstheme="minorHAnsi"/>
          <w:color w:val="000000"/>
          <w:sz w:val="22"/>
          <w:szCs w:val="22"/>
        </w:rPr>
        <w:t>social j</w:t>
      </w:r>
      <w:r w:rsidR="0088537C" w:rsidRPr="00DD19B7">
        <w:rPr>
          <w:rFonts w:eastAsia="Times New Roman" w:cstheme="minorHAnsi"/>
          <w:color w:val="000000"/>
          <w:sz w:val="22"/>
          <w:szCs w:val="22"/>
        </w:rPr>
        <w:t>ustice</w:t>
      </w:r>
      <w:r w:rsidR="00DD19B7" w:rsidRPr="00DD19B7">
        <w:rPr>
          <w:rFonts w:eastAsia="Times New Roman" w:cstheme="minorHAnsi"/>
          <w:color w:val="000000"/>
          <w:sz w:val="22"/>
          <w:szCs w:val="22"/>
        </w:rPr>
        <w:t xml:space="preserve"> in</w:t>
      </w:r>
      <w:r w:rsidR="001951F5">
        <w:rPr>
          <w:rFonts w:eastAsia="Times New Roman" w:cstheme="minorHAnsi"/>
          <w:color w:val="000000"/>
          <w:sz w:val="22"/>
          <w:szCs w:val="22"/>
        </w:rPr>
        <w:t xml:space="preserve"> the configuring of higher education</w:t>
      </w:r>
    </w:p>
    <w:p w14:paraId="466FD592" w14:textId="3F4BEE76" w:rsidR="005E5235" w:rsidRPr="000E6C10" w:rsidRDefault="00DD19B7" w:rsidP="000E6C10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Changing definitions of scholarship</w:t>
      </w:r>
    </w:p>
    <w:p w14:paraId="04FA4629" w14:textId="77777777" w:rsidR="001951F5" w:rsidRDefault="001951F5" w:rsidP="001951F5">
      <w:pPr>
        <w:rPr>
          <w:rFonts w:eastAsia="Times New Roman" w:cstheme="minorHAnsi"/>
          <w:color w:val="000000"/>
          <w:sz w:val="22"/>
          <w:szCs w:val="22"/>
        </w:rPr>
      </w:pPr>
    </w:p>
    <w:p w14:paraId="106240D4" w14:textId="77777777" w:rsidR="00B929B0" w:rsidRDefault="00B929B0" w:rsidP="001951F5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b/>
          <w:color w:val="000000"/>
          <w:sz w:val="22"/>
          <w:szCs w:val="22"/>
        </w:rPr>
        <w:t>Accommodation and travel</w:t>
      </w:r>
    </w:p>
    <w:p w14:paraId="51E76690" w14:textId="77777777" w:rsidR="005E5235" w:rsidRDefault="00B929B0" w:rsidP="001951F5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For those attending the conference from across Britain and from overseas we </w:t>
      </w:r>
      <w:proofErr w:type="gramStart"/>
      <w:r>
        <w:rPr>
          <w:rFonts w:eastAsia="Times New Roman" w:cstheme="minorHAnsi"/>
          <w:color w:val="000000"/>
          <w:sz w:val="22"/>
          <w:szCs w:val="22"/>
        </w:rPr>
        <w:t>are able to</w:t>
      </w:r>
      <w:proofErr w:type="gramEnd"/>
      <w:r>
        <w:rPr>
          <w:rFonts w:eastAsia="Times New Roman" w:cstheme="minorHAnsi"/>
          <w:color w:val="000000"/>
          <w:sz w:val="22"/>
          <w:szCs w:val="22"/>
        </w:rPr>
        <w:t xml:space="preserve"> provide accommodation on campus at reasonable rates. </w:t>
      </w:r>
      <w:r w:rsidR="00963288">
        <w:rPr>
          <w:rFonts w:eastAsia="Times New Roman" w:cstheme="minorHAnsi"/>
          <w:color w:val="000000"/>
          <w:sz w:val="22"/>
          <w:szCs w:val="22"/>
        </w:rPr>
        <w:t xml:space="preserve">We have a beautiful rural campus next to the attractive market town of Ormskirk. </w:t>
      </w:r>
    </w:p>
    <w:p w14:paraId="4B611283" w14:textId="14E14DEA" w:rsidR="005E5235" w:rsidRDefault="00963288" w:rsidP="001951F5">
      <w:pPr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Close by </w:t>
      </w:r>
      <w:r w:rsidR="00B929B0">
        <w:rPr>
          <w:rFonts w:eastAsia="Times New Roman" w:cstheme="minorHAnsi"/>
          <w:color w:val="000000"/>
          <w:sz w:val="22"/>
          <w:szCs w:val="22"/>
        </w:rPr>
        <w:t xml:space="preserve">Liverpool is well served in terms of public transport and infrastructure, including an international airport. The city lies a little more than two hours by train from London. Liverpool places a high value on its cultural life and resources and its theatre, gallery and music life </w:t>
      </w:r>
      <w:r>
        <w:rPr>
          <w:rFonts w:eastAsia="Times New Roman" w:cstheme="minorHAnsi"/>
          <w:color w:val="000000"/>
          <w:sz w:val="22"/>
          <w:szCs w:val="22"/>
        </w:rPr>
        <w:t xml:space="preserve">thrive. It is an international city brimming with high quality international cuisine. </w:t>
      </w:r>
      <w:r w:rsidR="00AF1D04"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020447">
        <w:rPr>
          <w:rFonts w:eastAsia="Times New Roman" w:cstheme="minorHAnsi"/>
          <w:color w:val="000000"/>
          <w:sz w:val="22"/>
          <w:szCs w:val="22"/>
        </w:rPr>
        <w:t xml:space="preserve">More information is available via the EHU website: </w:t>
      </w:r>
      <w:r w:rsidR="00020447" w:rsidRPr="00020447">
        <w:rPr>
          <w:rFonts w:eastAsia="Times New Roman" w:cstheme="minorHAnsi"/>
          <w:color w:val="000000"/>
          <w:sz w:val="22"/>
          <w:szCs w:val="22"/>
        </w:rPr>
        <w:t>www.edgehill.ac.uk/location/</w:t>
      </w:r>
      <w:r w:rsidR="00020447">
        <w:rPr>
          <w:rFonts w:eastAsia="Times New Roman" w:cstheme="minorHAnsi"/>
          <w:color w:val="000000"/>
          <w:sz w:val="22"/>
          <w:szCs w:val="22"/>
        </w:rPr>
        <w:t xml:space="preserve">. </w:t>
      </w:r>
      <w:r w:rsidR="00AF1D04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1025D934" w14:textId="77777777" w:rsidR="005E5235" w:rsidRDefault="005E5235" w:rsidP="001951F5">
      <w:pPr>
        <w:rPr>
          <w:rFonts w:eastAsia="Times New Roman" w:cstheme="minorHAnsi"/>
          <w:color w:val="000000"/>
          <w:sz w:val="22"/>
          <w:szCs w:val="22"/>
        </w:rPr>
      </w:pPr>
    </w:p>
    <w:p w14:paraId="170A65A7" w14:textId="77777777" w:rsidR="005E5235" w:rsidRDefault="005E5235" w:rsidP="001951F5">
      <w:pPr>
        <w:rPr>
          <w:rFonts w:eastAsia="Times New Roman" w:cstheme="minorHAnsi"/>
          <w:color w:val="000000"/>
          <w:sz w:val="22"/>
          <w:szCs w:val="22"/>
        </w:rPr>
      </w:pPr>
    </w:p>
    <w:p w14:paraId="51F80041" w14:textId="5C21B193" w:rsidR="005E5235" w:rsidRPr="005E5235" w:rsidRDefault="005E5235" w:rsidP="005E5235">
      <w:pPr>
        <w:rPr>
          <w:rFonts w:cstheme="minorHAnsi"/>
          <w:sz w:val="22"/>
          <w:szCs w:val="22"/>
        </w:rPr>
      </w:pPr>
      <w:r w:rsidRPr="005E5235">
        <w:rPr>
          <w:rFonts w:cstheme="minorHAnsi"/>
          <w:sz w:val="22"/>
          <w:szCs w:val="22"/>
        </w:rPr>
        <w:t xml:space="preserve">The deadline for the first call for proposals: </w:t>
      </w:r>
      <w:r w:rsidRPr="005E5235">
        <w:rPr>
          <w:rFonts w:cstheme="minorHAnsi"/>
          <w:b/>
          <w:sz w:val="22"/>
          <w:szCs w:val="22"/>
        </w:rPr>
        <w:t>15</w:t>
      </w:r>
      <w:r w:rsidRPr="005E5235">
        <w:rPr>
          <w:rFonts w:cstheme="minorHAnsi"/>
          <w:b/>
          <w:sz w:val="22"/>
          <w:szCs w:val="22"/>
          <w:vertAlign w:val="superscript"/>
        </w:rPr>
        <w:t>th</w:t>
      </w:r>
      <w:r w:rsidRPr="005E5235">
        <w:rPr>
          <w:rFonts w:cstheme="minorHAnsi"/>
          <w:b/>
          <w:sz w:val="22"/>
          <w:szCs w:val="22"/>
        </w:rPr>
        <w:t xml:space="preserve"> April 20</w:t>
      </w:r>
      <w:r w:rsidR="0024016D">
        <w:rPr>
          <w:rFonts w:cstheme="minorHAnsi"/>
          <w:b/>
          <w:sz w:val="22"/>
          <w:szCs w:val="22"/>
        </w:rPr>
        <w:t>19</w:t>
      </w:r>
    </w:p>
    <w:p w14:paraId="322E9E92" w14:textId="77777777" w:rsidR="005E5235" w:rsidRPr="005E5235" w:rsidRDefault="005E5235" w:rsidP="005E5235">
      <w:pPr>
        <w:rPr>
          <w:rFonts w:cstheme="minorHAnsi"/>
          <w:sz w:val="22"/>
          <w:szCs w:val="22"/>
        </w:rPr>
      </w:pPr>
      <w:r w:rsidRPr="005E5235">
        <w:rPr>
          <w:rFonts w:cstheme="minorHAnsi"/>
          <w:sz w:val="22"/>
          <w:szCs w:val="22"/>
        </w:rPr>
        <w:t xml:space="preserve">Notification for applicants following peer review: </w:t>
      </w:r>
      <w:r w:rsidRPr="005E5235">
        <w:rPr>
          <w:rFonts w:cstheme="minorHAnsi"/>
          <w:b/>
          <w:sz w:val="22"/>
          <w:szCs w:val="22"/>
        </w:rPr>
        <w:t>14</w:t>
      </w:r>
      <w:r w:rsidRPr="005E5235">
        <w:rPr>
          <w:rFonts w:cstheme="minorHAnsi"/>
          <w:b/>
          <w:sz w:val="22"/>
          <w:szCs w:val="22"/>
          <w:vertAlign w:val="superscript"/>
        </w:rPr>
        <w:t>th</w:t>
      </w:r>
      <w:r w:rsidRPr="005E5235">
        <w:rPr>
          <w:rFonts w:cstheme="minorHAnsi"/>
          <w:b/>
          <w:sz w:val="22"/>
          <w:szCs w:val="22"/>
        </w:rPr>
        <w:t xml:space="preserve"> May 2019</w:t>
      </w:r>
    </w:p>
    <w:p w14:paraId="10709881" w14:textId="6F57C025" w:rsidR="005E5235" w:rsidRPr="005E5235" w:rsidRDefault="005E5235" w:rsidP="005E5235">
      <w:pPr>
        <w:rPr>
          <w:rFonts w:eastAsia="Times New Roman" w:cs="Times New Roman"/>
          <w:sz w:val="20"/>
          <w:szCs w:val="20"/>
        </w:rPr>
      </w:pPr>
      <w:r w:rsidRPr="005E5235">
        <w:rPr>
          <w:rFonts w:cstheme="minorHAnsi"/>
          <w:sz w:val="22"/>
          <w:szCs w:val="22"/>
        </w:rPr>
        <w:t xml:space="preserve">Please submit your abstract here: </w:t>
      </w:r>
      <w:hyperlink r:id="rId6" w:tgtFrame="_blank" w:history="1">
        <w:r w:rsidRPr="005E5235">
          <w:rPr>
            <w:rFonts w:eastAsia="Times New Roman" w:cs="Arial"/>
            <w:color w:val="0000FF"/>
            <w:sz w:val="23"/>
            <w:szCs w:val="23"/>
            <w:u w:val="single"/>
            <w:bdr w:val="none" w:sz="0" w:space="0" w:color="auto" w:frame="1"/>
          </w:rPr>
          <w:t>https://edgehill.onlinesurveys.ac.uk/acre-2019</w:t>
        </w:r>
      </w:hyperlink>
      <w:r w:rsidRPr="005E5235">
        <w:rPr>
          <w:rFonts w:eastAsia="Times New Roman" w:cs="Arial"/>
          <w:color w:val="777777"/>
          <w:sz w:val="23"/>
          <w:szCs w:val="23"/>
          <w:shd w:val="clear" w:color="auto" w:fill="FFFFFF"/>
        </w:rPr>
        <w:t> </w:t>
      </w:r>
    </w:p>
    <w:p w14:paraId="41862287" w14:textId="1458097C" w:rsidR="005E5235" w:rsidRPr="005E5235" w:rsidRDefault="005E5235" w:rsidP="005E5235">
      <w:pPr>
        <w:rPr>
          <w:rFonts w:cstheme="minorHAnsi"/>
          <w:sz w:val="22"/>
          <w:szCs w:val="22"/>
        </w:rPr>
      </w:pPr>
    </w:p>
    <w:p w14:paraId="4A973C68" w14:textId="0DB99DBA" w:rsidR="005E5235" w:rsidRPr="005E5235" w:rsidRDefault="005E5235" w:rsidP="005E5235">
      <w:pPr>
        <w:rPr>
          <w:rFonts w:cstheme="minorHAnsi"/>
          <w:sz w:val="22"/>
          <w:szCs w:val="22"/>
        </w:rPr>
      </w:pPr>
      <w:r w:rsidRPr="005E5235">
        <w:rPr>
          <w:rFonts w:cstheme="minorHAnsi"/>
          <w:sz w:val="22"/>
          <w:szCs w:val="22"/>
        </w:rPr>
        <w:t xml:space="preserve">If you have any queries, please contact the conference team via </w:t>
      </w:r>
      <w:hyperlink r:id="rId7" w:history="1">
        <w:r w:rsidRPr="005E5235">
          <w:rPr>
            <w:rStyle w:val="Hyperlink"/>
            <w:rFonts w:cstheme="minorHAnsi"/>
            <w:sz w:val="22"/>
            <w:szCs w:val="22"/>
          </w:rPr>
          <w:t>educationresearch@edgehill.ac.uk</w:t>
        </w:r>
      </w:hyperlink>
      <w:r w:rsidRPr="005E5235">
        <w:rPr>
          <w:rFonts w:cstheme="minorHAnsi"/>
          <w:sz w:val="22"/>
          <w:szCs w:val="22"/>
        </w:rPr>
        <w:t xml:space="preserve"> </w:t>
      </w:r>
    </w:p>
    <w:p w14:paraId="245DC5C1" w14:textId="3DB60279" w:rsidR="00DD19B7" w:rsidRPr="001951F5" w:rsidRDefault="00AF1D04" w:rsidP="001951F5">
      <w:pPr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Booking details to follow.</w:t>
      </w:r>
      <w:r w:rsidR="0088537C" w:rsidRPr="001951F5">
        <w:rPr>
          <w:rFonts w:eastAsia="Times New Roman" w:cstheme="minorHAnsi"/>
          <w:color w:val="000000"/>
          <w:sz w:val="22"/>
          <w:szCs w:val="22"/>
        </w:rPr>
        <w:br/>
      </w:r>
      <w:r w:rsidR="0088537C" w:rsidRPr="001951F5">
        <w:rPr>
          <w:rFonts w:eastAsia="Times New Roman" w:cstheme="minorHAnsi"/>
          <w:color w:val="000000"/>
          <w:sz w:val="22"/>
          <w:szCs w:val="22"/>
        </w:rPr>
        <w:br/>
      </w:r>
    </w:p>
    <w:p w14:paraId="3C78548E" w14:textId="29BC4DAC" w:rsidR="0088537C" w:rsidRPr="00DD19B7" w:rsidRDefault="001034F9">
      <w:pPr>
        <w:rPr>
          <w:rFonts w:cstheme="minorHAnsi"/>
          <w:sz w:val="22"/>
          <w:szCs w:val="22"/>
        </w:rPr>
      </w:pPr>
      <w:hyperlink r:id="rId8" w:history="1">
        <w:r>
          <w:rPr>
            <w:rStyle w:val="Hyperlink"/>
          </w:rPr>
          <w:t>https://www.edgehill.ac.uk/education/research/acre-2019/</w:t>
        </w:r>
      </w:hyperlink>
    </w:p>
    <w:sectPr w:rsidR="0088537C" w:rsidRPr="00DD19B7" w:rsidSect="005E5235">
      <w:pgSz w:w="11901" w:h="16817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69B"/>
    <w:multiLevelType w:val="hybridMultilevel"/>
    <w:tmpl w:val="8522E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7C"/>
    <w:rsid w:val="00020447"/>
    <w:rsid w:val="00087237"/>
    <w:rsid w:val="000E6C10"/>
    <w:rsid w:val="001034F9"/>
    <w:rsid w:val="001951F5"/>
    <w:rsid w:val="001C143F"/>
    <w:rsid w:val="0024016D"/>
    <w:rsid w:val="002D78AC"/>
    <w:rsid w:val="00391CFE"/>
    <w:rsid w:val="005165F7"/>
    <w:rsid w:val="0058127A"/>
    <w:rsid w:val="00593D5A"/>
    <w:rsid w:val="005E5235"/>
    <w:rsid w:val="006457B2"/>
    <w:rsid w:val="00734307"/>
    <w:rsid w:val="00772C31"/>
    <w:rsid w:val="0088537C"/>
    <w:rsid w:val="008A2DAE"/>
    <w:rsid w:val="00963288"/>
    <w:rsid w:val="00AF1D04"/>
    <w:rsid w:val="00B33951"/>
    <w:rsid w:val="00B66A58"/>
    <w:rsid w:val="00B66AF2"/>
    <w:rsid w:val="00B929B0"/>
    <w:rsid w:val="00BC4A66"/>
    <w:rsid w:val="00C56FF3"/>
    <w:rsid w:val="00C60D6F"/>
    <w:rsid w:val="00DD19B7"/>
    <w:rsid w:val="00DD510E"/>
    <w:rsid w:val="00FA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76BF7"/>
  <w15:docId w15:val="{9BAB4000-F748-4122-BB4A-5E995E1C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537C"/>
  </w:style>
  <w:style w:type="paragraph" w:styleId="ListParagraph">
    <w:name w:val="List Paragraph"/>
    <w:basedOn w:val="Normal"/>
    <w:uiPriority w:val="34"/>
    <w:qFormat/>
    <w:rsid w:val="00DD19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2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education/research/acre-2019/" TargetMode="External"/><Relationship Id="rId3" Type="http://schemas.openxmlformats.org/officeDocument/2006/relationships/styles" Target="styles.xml"/><Relationship Id="rId7" Type="http://schemas.openxmlformats.org/officeDocument/2006/relationships/hyperlink" Target="mailto:educationresearch@edgehill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gehill.onlinesurveys.ac.uk/acre-20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01072F-D6C1-4074-A530-1E62D71A0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Saville Kushner</dc:creator>
  <cp:keywords/>
  <dc:description/>
  <cp:lastModifiedBy>Charlotte Hastings</cp:lastModifiedBy>
  <cp:revision>3</cp:revision>
  <dcterms:created xsi:type="dcterms:W3CDTF">2019-03-21T10:56:00Z</dcterms:created>
  <dcterms:modified xsi:type="dcterms:W3CDTF">2019-03-21T12:21:00Z</dcterms:modified>
</cp:coreProperties>
</file>