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ook w:val="04A0" w:firstRow="1" w:lastRow="0" w:firstColumn="1" w:lastColumn="0" w:noHBand="0" w:noVBand="1"/>
        <w:tblCaption w:val="Naygoya Protocol Checklist"/>
      </w:tblPr>
      <w:tblGrid>
        <w:gridCol w:w="8966"/>
      </w:tblGrid>
      <w:tr w:rsidR="000D23AF" w14:paraId="60C92F24" w14:textId="77777777" w:rsidTr="61D8F0F6">
        <w:tc>
          <w:tcPr>
            <w:tcW w:w="8966" w:type="dxa"/>
          </w:tcPr>
          <w:p w14:paraId="572926FA" w14:textId="4B046D8A" w:rsidR="000D23AF" w:rsidRPr="001C7E65" w:rsidRDefault="001C7E65" w:rsidP="00CC696B">
            <w:pPr>
              <w:pStyle w:val="Title"/>
            </w:pPr>
            <w:bookmarkStart w:id="0" w:name="_Hlk47705494"/>
            <w:r w:rsidRPr="001C7E65">
              <w:t xml:space="preserve">Nagoya Protocol </w:t>
            </w:r>
            <w:r w:rsidRPr="00CC696B">
              <w:t>Checklist</w:t>
            </w:r>
            <w:r w:rsidRPr="001C7E65">
              <w:t xml:space="preserve"> for Researchers</w:t>
            </w:r>
            <w:bookmarkEnd w:id="0"/>
          </w:p>
        </w:tc>
      </w:tr>
      <w:tr w:rsidR="000D23AF" w14:paraId="43B56ADA" w14:textId="77777777" w:rsidTr="61D8F0F6">
        <w:tc>
          <w:tcPr>
            <w:tcW w:w="8966" w:type="dxa"/>
            <w:shd w:val="clear" w:color="auto" w:fill="0070C0"/>
          </w:tcPr>
          <w:p w14:paraId="21226E9E" w14:textId="77777777" w:rsidR="000D23AF" w:rsidRDefault="000D23AF" w:rsidP="00CC04D9">
            <w:pPr>
              <w:pStyle w:val="NoSpacing"/>
            </w:pPr>
          </w:p>
          <w:p w14:paraId="40FA6483" w14:textId="30500502" w:rsidR="000D23AF" w:rsidRPr="00C625B0" w:rsidRDefault="61D8F0F6" w:rsidP="61D8F0F6">
            <w:pPr>
              <w:pStyle w:val="NoSpacing"/>
              <w:rPr>
                <w:b/>
                <w:bCs/>
                <w:color w:val="FFFFFF" w:themeColor="background1"/>
              </w:rPr>
            </w:pPr>
            <w:r w:rsidRPr="61D8F0F6">
              <w:rPr>
                <w:b/>
                <w:bCs/>
                <w:color w:val="FFFFFF" w:themeColor="background1"/>
              </w:rPr>
              <w:t>July 2019</w:t>
            </w:r>
          </w:p>
          <w:p w14:paraId="60EEC982" w14:textId="77777777" w:rsidR="000D23AF" w:rsidRDefault="000D23AF" w:rsidP="00CC04D9">
            <w:pPr>
              <w:pStyle w:val="NoSpacing"/>
            </w:pPr>
          </w:p>
        </w:tc>
      </w:tr>
    </w:tbl>
    <w:p w14:paraId="21D0F2E1" w14:textId="77777777" w:rsidR="00C625B0" w:rsidRDefault="00C625B0" w:rsidP="00722685">
      <w:pPr>
        <w:pStyle w:val="NoSpacing"/>
      </w:pPr>
    </w:p>
    <w:p w14:paraId="680278BA" w14:textId="77777777" w:rsidR="00C625B0" w:rsidRDefault="00C625B0" w:rsidP="00722685">
      <w:pPr>
        <w:pStyle w:val="NoSpacing"/>
      </w:pPr>
    </w:p>
    <w:p w14:paraId="41DE735A" w14:textId="77777777" w:rsidR="00C625B0" w:rsidRDefault="00C625B0" w:rsidP="00722685">
      <w:pPr>
        <w:pStyle w:val="NoSpacing"/>
      </w:pPr>
    </w:p>
    <w:p w14:paraId="0DFC203C" w14:textId="77777777" w:rsidR="00C625B0" w:rsidRDefault="00C625B0" w:rsidP="00722685">
      <w:pPr>
        <w:pStyle w:val="NoSpacing"/>
      </w:pPr>
    </w:p>
    <w:p w14:paraId="1C6D5DCA" w14:textId="77777777" w:rsidR="00C625B0" w:rsidRDefault="00C625B0" w:rsidP="00722685">
      <w:pPr>
        <w:pStyle w:val="NoSpacing"/>
      </w:pPr>
    </w:p>
    <w:p w14:paraId="2AB3C681" w14:textId="77777777" w:rsidR="00C625B0" w:rsidRDefault="00C625B0" w:rsidP="00722685">
      <w:pPr>
        <w:pStyle w:val="NoSpacing"/>
      </w:pPr>
    </w:p>
    <w:p w14:paraId="4DD31E93" w14:textId="77777777" w:rsidR="00C625B0" w:rsidRDefault="00C625B0" w:rsidP="00722685">
      <w:pPr>
        <w:pStyle w:val="NoSpacing"/>
      </w:pPr>
    </w:p>
    <w:p w14:paraId="3748D3D5" w14:textId="77777777" w:rsidR="00C625B0" w:rsidRDefault="00C625B0" w:rsidP="00722685">
      <w:pPr>
        <w:pStyle w:val="NoSpacing"/>
      </w:pPr>
    </w:p>
    <w:p w14:paraId="7FF35177" w14:textId="77777777" w:rsidR="00C625B0" w:rsidRDefault="00C625B0" w:rsidP="00722685">
      <w:pPr>
        <w:pStyle w:val="NoSpacing"/>
      </w:pPr>
    </w:p>
    <w:p w14:paraId="34894030" w14:textId="77777777" w:rsidR="00C625B0" w:rsidRDefault="00C625B0" w:rsidP="00722685">
      <w:pPr>
        <w:pStyle w:val="NoSpacing"/>
      </w:pPr>
    </w:p>
    <w:p w14:paraId="107031F4" w14:textId="77777777" w:rsidR="000D23AF" w:rsidRDefault="000D23AF" w:rsidP="00722685">
      <w:pPr>
        <w:pStyle w:val="NoSpacing"/>
      </w:pPr>
    </w:p>
    <w:p w14:paraId="3B39202D" w14:textId="77777777" w:rsidR="00C625B0" w:rsidRDefault="00C625B0" w:rsidP="00722685">
      <w:pPr>
        <w:pStyle w:val="NoSpacing"/>
      </w:pPr>
    </w:p>
    <w:p w14:paraId="19944394" w14:textId="77777777" w:rsidR="00C625B0" w:rsidRDefault="00C625B0" w:rsidP="00C625B0">
      <w:pPr>
        <w:pStyle w:val="NoSpacing"/>
        <w:jc w:val="right"/>
      </w:pPr>
    </w:p>
    <w:p w14:paraId="67F14773" w14:textId="77777777" w:rsidR="006A5B50" w:rsidRDefault="006A5B50">
      <w:pPr>
        <w:rPr>
          <w:b/>
          <w:sz w:val="36"/>
        </w:rPr>
      </w:pPr>
      <w:r>
        <w:rPr>
          <w:b/>
          <w:sz w:val="36"/>
        </w:rPr>
        <w:br w:type="page"/>
      </w:r>
    </w:p>
    <w:p w14:paraId="36334BDB" w14:textId="77777777" w:rsidR="00446A8A" w:rsidRPr="00446A8A" w:rsidRDefault="00446A8A" w:rsidP="001C7E65">
      <w:pPr>
        <w:pStyle w:val="Para1RO"/>
        <w:rPr>
          <w:rFonts w:ascii="Arial" w:hAnsi="Arial" w:cs="Arial"/>
          <w:b/>
          <w:bCs/>
          <w:sz w:val="36"/>
          <w:szCs w:val="36"/>
        </w:rPr>
      </w:pPr>
      <w:r w:rsidRPr="00446A8A">
        <w:rPr>
          <w:rFonts w:ascii="Arial" w:hAnsi="Arial" w:cs="Arial"/>
          <w:b/>
          <w:bCs/>
          <w:sz w:val="36"/>
          <w:szCs w:val="36"/>
        </w:rPr>
        <w:lastRenderedPageBreak/>
        <w:t xml:space="preserve">Nagoya Protocol Checklist for Researchers </w:t>
      </w:r>
    </w:p>
    <w:p w14:paraId="578D5B58" w14:textId="49AABD77" w:rsidR="001C7E65" w:rsidRPr="001C7E65" w:rsidRDefault="001C7E65" w:rsidP="001C7E65">
      <w:pPr>
        <w:pStyle w:val="Para1RO"/>
        <w:rPr>
          <w:rFonts w:ascii="Arial" w:hAnsi="Arial" w:cs="Arial"/>
        </w:rPr>
      </w:pPr>
      <w:r w:rsidRPr="001C7E65">
        <w:rPr>
          <w:rFonts w:ascii="Arial" w:hAnsi="Arial" w:cs="Arial"/>
        </w:rPr>
        <w:t xml:space="preserve">This checklist should be used to determine whether the research activity that you are conducting is within the scope of the Nagoya Protocol (NP). Please fill out the checklist and return it to the Research Office (RO) for review. Please note that the RO do not expect you to know the answer to all of the questions or to conduct significant investigation to be able to answer the questions as this can be done once the background information has been obtained. </w:t>
      </w:r>
    </w:p>
    <w:p w14:paraId="64F6180E" w14:textId="4621F860" w:rsidR="001C7E65" w:rsidRPr="001C7E65" w:rsidRDefault="001C7E65" w:rsidP="001C7E65">
      <w:pPr>
        <w:pStyle w:val="Para1RO"/>
        <w:rPr>
          <w:rFonts w:ascii="Arial" w:hAnsi="Arial" w:cs="Arial"/>
        </w:rPr>
      </w:pPr>
      <w:r w:rsidRPr="001C7E65">
        <w:rPr>
          <w:rFonts w:ascii="Arial" w:hAnsi="Arial" w:cs="Arial"/>
        </w:rPr>
        <w:t xml:space="preserve">If the answer to </w:t>
      </w:r>
      <w:proofErr w:type="gramStart"/>
      <w:r w:rsidRPr="001C7E65">
        <w:rPr>
          <w:rFonts w:ascii="Arial" w:hAnsi="Arial" w:cs="Arial"/>
          <w:b/>
        </w:rPr>
        <w:t>all</w:t>
      </w:r>
      <w:r w:rsidRPr="001C7E65">
        <w:rPr>
          <w:rFonts w:ascii="Arial" w:hAnsi="Arial" w:cs="Arial"/>
        </w:rPr>
        <w:t xml:space="preserve"> </w:t>
      </w:r>
      <w:r>
        <w:rPr>
          <w:rFonts w:ascii="Arial" w:hAnsi="Arial" w:cs="Arial"/>
        </w:rPr>
        <w:t>of</w:t>
      </w:r>
      <w:proofErr w:type="gramEnd"/>
      <w:r>
        <w:rPr>
          <w:rFonts w:ascii="Arial" w:hAnsi="Arial" w:cs="Arial"/>
        </w:rPr>
        <w:t xml:space="preserve"> </w:t>
      </w:r>
      <w:r w:rsidRPr="001C7E65">
        <w:rPr>
          <w:rFonts w:ascii="Arial" w:hAnsi="Arial" w:cs="Arial"/>
        </w:rPr>
        <w:t xml:space="preserve">the following questions is Yes, the project or activity is likely to be within the scope of the NP and RO will discuss with you the further action points. If the answer to any of these questions is No the project or activity will be deemed to be outside the scope of the NP. However, further action may still be required as the provider country may still have some access and benefit sharing legislation which we will still need to comply with if utilising the GR (see Q5 below). </w:t>
      </w:r>
    </w:p>
    <w:tbl>
      <w:tblPr>
        <w:tblStyle w:val="TableGrid1"/>
        <w:tblW w:w="0" w:type="auto"/>
        <w:tblInd w:w="0" w:type="dxa"/>
        <w:tblLook w:val="04A0" w:firstRow="1" w:lastRow="0" w:firstColumn="1" w:lastColumn="0" w:noHBand="0" w:noVBand="1"/>
        <w:tblCaption w:val="Checklist"/>
        <w:tblDescription w:val="List of all items to consider"/>
      </w:tblPr>
      <w:tblGrid>
        <w:gridCol w:w="1958"/>
        <w:gridCol w:w="3438"/>
        <w:gridCol w:w="836"/>
        <w:gridCol w:w="851"/>
        <w:gridCol w:w="1933"/>
      </w:tblGrid>
      <w:tr w:rsidR="00446A8A" w:rsidRPr="00446A8A" w14:paraId="5EA1B044" w14:textId="77777777" w:rsidTr="00446A8A">
        <w:trPr>
          <w:tblHeader/>
        </w:trPr>
        <w:tc>
          <w:tcPr>
            <w:tcW w:w="1958" w:type="dxa"/>
            <w:tcBorders>
              <w:top w:val="single" w:sz="4" w:space="0" w:color="000000"/>
              <w:left w:val="single" w:sz="4" w:space="0" w:color="000000"/>
              <w:bottom w:val="single" w:sz="4" w:space="0" w:color="000000"/>
              <w:right w:val="single" w:sz="4" w:space="0" w:color="000000"/>
            </w:tcBorders>
            <w:hideMark/>
          </w:tcPr>
          <w:p w14:paraId="074EE9A6" w14:textId="77777777" w:rsidR="00446A8A" w:rsidRPr="00446A8A" w:rsidRDefault="00446A8A" w:rsidP="00446A8A">
            <w:pPr>
              <w:keepLines/>
              <w:rPr>
                <w:rFonts w:ascii="Arial Narrow" w:eastAsia="Times New Roman" w:hAnsi="Arial Narrow"/>
                <w:u w:val="single"/>
              </w:rPr>
            </w:pPr>
            <w:r w:rsidRPr="00446A8A">
              <w:rPr>
                <w:rFonts w:ascii="Arial Narrow" w:eastAsia="Times New Roman" w:hAnsi="Arial Narrow"/>
                <w:u w:val="single"/>
              </w:rPr>
              <w:t>Question</w:t>
            </w:r>
          </w:p>
        </w:tc>
        <w:tc>
          <w:tcPr>
            <w:tcW w:w="3438" w:type="dxa"/>
            <w:tcBorders>
              <w:top w:val="single" w:sz="4" w:space="0" w:color="000000"/>
              <w:left w:val="single" w:sz="4" w:space="0" w:color="000000"/>
              <w:bottom w:val="single" w:sz="4" w:space="0" w:color="000000"/>
              <w:right w:val="single" w:sz="4" w:space="0" w:color="000000"/>
            </w:tcBorders>
            <w:hideMark/>
          </w:tcPr>
          <w:p w14:paraId="79663568" w14:textId="77777777" w:rsidR="00446A8A" w:rsidRPr="00446A8A" w:rsidRDefault="00446A8A" w:rsidP="00446A8A">
            <w:pPr>
              <w:keepLines/>
              <w:rPr>
                <w:rFonts w:ascii="Arial Narrow" w:eastAsia="Times New Roman" w:hAnsi="Arial Narrow"/>
                <w:u w:val="single"/>
              </w:rPr>
            </w:pPr>
            <w:r w:rsidRPr="00446A8A">
              <w:rPr>
                <w:rFonts w:ascii="Arial Narrow" w:eastAsia="Times New Roman" w:hAnsi="Arial Narrow"/>
                <w:u w:val="single"/>
              </w:rPr>
              <w:t>Explanation</w:t>
            </w:r>
            <w:bookmarkStart w:id="1" w:name="_GoBack"/>
            <w:bookmarkEnd w:id="1"/>
          </w:p>
        </w:tc>
        <w:tc>
          <w:tcPr>
            <w:tcW w:w="836" w:type="dxa"/>
            <w:tcBorders>
              <w:top w:val="single" w:sz="4" w:space="0" w:color="000000"/>
              <w:left w:val="single" w:sz="4" w:space="0" w:color="000000"/>
              <w:bottom w:val="single" w:sz="4" w:space="0" w:color="000000"/>
              <w:right w:val="single" w:sz="4" w:space="0" w:color="000000"/>
            </w:tcBorders>
            <w:hideMark/>
          </w:tcPr>
          <w:p w14:paraId="611BC825" w14:textId="77777777" w:rsidR="00446A8A" w:rsidRPr="00446A8A" w:rsidRDefault="00446A8A" w:rsidP="00446A8A">
            <w:pPr>
              <w:keepLines/>
              <w:rPr>
                <w:rFonts w:ascii="Arial Narrow" w:eastAsia="Times New Roman" w:hAnsi="Arial Narrow"/>
                <w:u w:val="single"/>
              </w:rPr>
            </w:pPr>
            <w:r w:rsidRPr="00446A8A">
              <w:rPr>
                <w:rFonts w:ascii="Arial Narrow" w:eastAsia="Times New Roman" w:hAnsi="Arial Narrow"/>
                <w:u w:val="single"/>
              </w:rPr>
              <w:t>Yes?</w:t>
            </w:r>
          </w:p>
        </w:tc>
        <w:tc>
          <w:tcPr>
            <w:tcW w:w="851" w:type="dxa"/>
            <w:tcBorders>
              <w:top w:val="single" w:sz="4" w:space="0" w:color="000000"/>
              <w:left w:val="single" w:sz="4" w:space="0" w:color="000000"/>
              <w:bottom w:val="single" w:sz="4" w:space="0" w:color="000000"/>
              <w:right w:val="single" w:sz="4" w:space="0" w:color="000000"/>
            </w:tcBorders>
            <w:hideMark/>
          </w:tcPr>
          <w:p w14:paraId="01DA2CE7" w14:textId="77777777" w:rsidR="00446A8A" w:rsidRPr="00446A8A" w:rsidRDefault="00446A8A" w:rsidP="00446A8A">
            <w:pPr>
              <w:keepLines/>
              <w:rPr>
                <w:rFonts w:ascii="Arial Narrow" w:eastAsia="Times New Roman" w:hAnsi="Arial Narrow"/>
                <w:u w:val="single"/>
              </w:rPr>
            </w:pPr>
            <w:r w:rsidRPr="00446A8A">
              <w:rPr>
                <w:rFonts w:ascii="Arial Narrow" w:eastAsia="Times New Roman" w:hAnsi="Arial Narrow"/>
                <w:u w:val="single"/>
              </w:rPr>
              <w:t>No?</w:t>
            </w:r>
          </w:p>
        </w:tc>
        <w:tc>
          <w:tcPr>
            <w:tcW w:w="1933" w:type="dxa"/>
            <w:tcBorders>
              <w:top w:val="single" w:sz="4" w:space="0" w:color="000000"/>
              <w:left w:val="single" w:sz="4" w:space="0" w:color="000000"/>
              <w:bottom w:val="single" w:sz="4" w:space="0" w:color="000000"/>
              <w:right w:val="single" w:sz="4" w:space="0" w:color="000000"/>
            </w:tcBorders>
            <w:hideMark/>
          </w:tcPr>
          <w:p w14:paraId="29F95E41" w14:textId="2AB70D8D" w:rsidR="00446A8A" w:rsidRPr="00446A8A" w:rsidRDefault="00446A8A" w:rsidP="00446A8A">
            <w:pPr>
              <w:keepLines/>
              <w:jc w:val="left"/>
              <w:rPr>
                <w:rFonts w:ascii="Arial Narrow" w:eastAsia="Times New Roman" w:hAnsi="Arial Narrow"/>
                <w:u w:val="single"/>
              </w:rPr>
            </w:pPr>
            <w:r w:rsidRPr="00446A8A">
              <w:rPr>
                <w:rFonts w:ascii="Arial Narrow" w:eastAsia="Times New Roman" w:hAnsi="Arial Narrow"/>
                <w:u w:val="single"/>
              </w:rPr>
              <w:t>Maybe?</w:t>
            </w:r>
            <w:r>
              <w:rPr>
                <w:rFonts w:ascii="Arial Narrow" w:eastAsia="Times New Roman" w:hAnsi="Arial Narrow"/>
                <w:u w:val="single"/>
              </w:rPr>
              <w:t xml:space="preserve"> - </w:t>
            </w:r>
            <w:r w:rsidRPr="00446A8A">
              <w:rPr>
                <w:rFonts w:ascii="Arial Narrow" w:eastAsia="Times New Roman" w:hAnsi="Arial Narrow"/>
                <w:u w:val="single"/>
              </w:rPr>
              <w:t>Please provide</w:t>
            </w:r>
            <w:r>
              <w:rPr>
                <w:rFonts w:ascii="Arial Narrow" w:eastAsia="Times New Roman" w:hAnsi="Arial Narrow"/>
                <w:u w:val="single"/>
              </w:rPr>
              <w:t xml:space="preserve"> </w:t>
            </w:r>
            <w:r w:rsidRPr="00446A8A">
              <w:rPr>
                <w:rFonts w:ascii="Arial Narrow" w:eastAsia="Times New Roman" w:hAnsi="Arial Narrow"/>
                <w:u w:val="single"/>
              </w:rPr>
              <w:t>further detail.</w:t>
            </w:r>
          </w:p>
        </w:tc>
      </w:tr>
      <w:tr w:rsidR="00446A8A" w:rsidRPr="00446A8A" w14:paraId="53C710DF" w14:textId="77777777" w:rsidTr="00446A8A">
        <w:tc>
          <w:tcPr>
            <w:tcW w:w="1958" w:type="dxa"/>
            <w:tcBorders>
              <w:top w:val="single" w:sz="4" w:space="0" w:color="000000"/>
              <w:left w:val="single" w:sz="4" w:space="0" w:color="000000"/>
              <w:bottom w:val="single" w:sz="4" w:space="0" w:color="000000"/>
              <w:right w:val="single" w:sz="4" w:space="0" w:color="000000"/>
            </w:tcBorders>
            <w:hideMark/>
          </w:tcPr>
          <w:p w14:paraId="7BF40A93" w14:textId="77777777" w:rsidR="00446A8A" w:rsidRPr="00446A8A" w:rsidRDefault="00446A8A" w:rsidP="00446A8A">
            <w:pPr>
              <w:keepLines/>
              <w:rPr>
                <w:rFonts w:ascii="Arial Narrow" w:eastAsia="Times New Roman" w:hAnsi="Arial Narrow"/>
              </w:rPr>
            </w:pPr>
            <w:r w:rsidRPr="00446A8A">
              <w:rPr>
                <w:rFonts w:ascii="Arial Narrow" w:eastAsia="Times New Roman" w:hAnsi="Arial Narrow"/>
              </w:rPr>
              <w:t xml:space="preserve">1. Does the project or activity involve </w:t>
            </w:r>
            <w:r w:rsidRPr="00446A8A">
              <w:rPr>
                <w:rFonts w:ascii="Arial Narrow" w:eastAsia="Times New Roman" w:hAnsi="Arial Narrow"/>
                <w:b/>
              </w:rPr>
              <w:t>non-human Genetic Resources</w:t>
            </w:r>
            <w:r w:rsidRPr="00446A8A">
              <w:rPr>
                <w:rFonts w:ascii="Arial Narrow" w:eastAsia="Times New Roman" w:hAnsi="Arial Narrow"/>
              </w:rPr>
              <w:t xml:space="preserve"> (GR) taken (by you or others) from outside of the UK?</w:t>
            </w:r>
          </w:p>
        </w:tc>
        <w:tc>
          <w:tcPr>
            <w:tcW w:w="3438" w:type="dxa"/>
            <w:tcBorders>
              <w:top w:val="single" w:sz="4" w:space="0" w:color="000000"/>
              <w:left w:val="single" w:sz="4" w:space="0" w:color="000000"/>
              <w:bottom w:val="single" w:sz="4" w:space="0" w:color="000000"/>
              <w:right w:val="single" w:sz="4" w:space="0" w:color="000000"/>
            </w:tcBorders>
            <w:hideMark/>
          </w:tcPr>
          <w:p w14:paraId="5C469C7E" w14:textId="77777777" w:rsidR="00446A8A" w:rsidRPr="00446A8A" w:rsidRDefault="00446A8A" w:rsidP="00446A8A">
            <w:pPr>
              <w:keepLines/>
              <w:rPr>
                <w:rFonts w:ascii="Arial Narrow" w:eastAsia="Times New Roman" w:hAnsi="Arial Narrow"/>
              </w:rPr>
            </w:pPr>
            <w:r w:rsidRPr="00446A8A">
              <w:rPr>
                <w:rFonts w:ascii="Arial Narrow" w:eastAsia="Times New Roman" w:hAnsi="Arial Narrow"/>
              </w:rPr>
              <w:t xml:space="preserve">The term “Genetic Resources” includes genetic material of actual or potential value. GR covers material containing functional units of heredity [e.g. genes or DNA] or their derivatives (e.g. proteins, lipids, enzymes). </w:t>
            </w:r>
          </w:p>
          <w:p w14:paraId="1BEE679D" w14:textId="77777777" w:rsidR="00446A8A" w:rsidRPr="00446A8A" w:rsidRDefault="00446A8A" w:rsidP="00446A8A">
            <w:pPr>
              <w:keepLines/>
              <w:rPr>
                <w:rFonts w:ascii="Arial Narrow" w:eastAsia="Times New Roman" w:hAnsi="Arial Narrow"/>
                <w:b/>
                <w:i/>
              </w:rPr>
            </w:pPr>
            <w:r w:rsidRPr="00446A8A">
              <w:rPr>
                <w:rFonts w:ascii="Arial Narrow" w:eastAsia="Times New Roman" w:hAnsi="Arial Narrow"/>
              </w:rPr>
              <w:t>GR can also include any relevant traditional knowledge associated (</w:t>
            </w:r>
            <w:proofErr w:type="spellStart"/>
            <w:r w:rsidRPr="00446A8A">
              <w:rPr>
                <w:rFonts w:ascii="Arial Narrow" w:eastAsia="Times New Roman" w:hAnsi="Arial Narrow"/>
              </w:rPr>
              <w:t>aTK</w:t>
            </w:r>
            <w:proofErr w:type="spellEnd"/>
            <w:r w:rsidRPr="00446A8A">
              <w:rPr>
                <w:rFonts w:ascii="Arial Narrow" w:eastAsia="Times New Roman" w:hAnsi="Arial Narrow"/>
              </w:rPr>
              <w:t xml:space="preserve">) with their use. </w:t>
            </w:r>
            <w:proofErr w:type="spellStart"/>
            <w:r w:rsidRPr="00446A8A">
              <w:rPr>
                <w:rFonts w:ascii="Arial Narrow" w:eastAsia="Times New Roman" w:hAnsi="Arial Narrow"/>
              </w:rPr>
              <w:t>aTK</w:t>
            </w:r>
            <w:proofErr w:type="spellEnd"/>
            <w:r w:rsidRPr="00446A8A">
              <w:rPr>
                <w:rFonts w:ascii="Arial Narrow" w:eastAsia="Times New Roman" w:hAnsi="Arial Narrow"/>
              </w:rPr>
              <w:t xml:space="preserve"> is traditional knowledge held by an indigenous/local community that is relevant for the utilisation of GR. </w:t>
            </w:r>
          </w:p>
        </w:tc>
        <w:tc>
          <w:tcPr>
            <w:tcW w:w="836" w:type="dxa"/>
            <w:tcBorders>
              <w:top w:val="single" w:sz="4" w:space="0" w:color="000000"/>
              <w:left w:val="single" w:sz="4" w:space="0" w:color="000000"/>
              <w:bottom w:val="single" w:sz="4" w:space="0" w:color="000000"/>
              <w:right w:val="single" w:sz="4" w:space="0" w:color="000000"/>
            </w:tcBorders>
          </w:tcPr>
          <w:p w14:paraId="2409C3B6" w14:textId="77777777" w:rsidR="00446A8A" w:rsidRPr="00446A8A" w:rsidRDefault="00446A8A" w:rsidP="00446A8A">
            <w:pPr>
              <w:keepLines/>
              <w:rPr>
                <w:rFonts w:ascii="Arial Narrow" w:eastAsia="Times New Roman" w:hAnsi="Arial Narrow"/>
                <w:u w:val="single"/>
              </w:rPr>
            </w:pPr>
          </w:p>
        </w:tc>
        <w:tc>
          <w:tcPr>
            <w:tcW w:w="851" w:type="dxa"/>
            <w:tcBorders>
              <w:top w:val="single" w:sz="4" w:space="0" w:color="000000"/>
              <w:left w:val="single" w:sz="4" w:space="0" w:color="000000"/>
              <w:bottom w:val="single" w:sz="4" w:space="0" w:color="000000"/>
              <w:right w:val="single" w:sz="4" w:space="0" w:color="000000"/>
            </w:tcBorders>
          </w:tcPr>
          <w:p w14:paraId="25A5D025" w14:textId="77777777" w:rsidR="00446A8A" w:rsidRPr="00446A8A" w:rsidRDefault="00446A8A" w:rsidP="00446A8A">
            <w:pPr>
              <w:keepLines/>
              <w:rPr>
                <w:rFonts w:ascii="Arial Narrow" w:eastAsia="Times New Roman" w:hAnsi="Arial Narrow"/>
                <w:u w:val="single"/>
              </w:rPr>
            </w:pPr>
          </w:p>
        </w:tc>
        <w:tc>
          <w:tcPr>
            <w:tcW w:w="1933" w:type="dxa"/>
            <w:tcBorders>
              <w:top w:val="single" w:sz="4" w:space="0" w:color="000000"/>
              <w:left w:val="single" w:sz="4" w:space="0" w:color="000000"/>
              <w:bottom w:val="single" w:sz="4" w:space="0" w:color="000000"/>
              <w:right w:val="single" w:sz="4" w:space="0" w:color="000000"/>
            </w:tcBorders>
          </w:tcPr>
          <w:p w14:paraId="652EE9AA" w14:textId="77777777" w:rsidR="00446A8A" w:rsidRPr="00446A8A" w:rsidRDefault="00446A8A" w:rsidP="00446A8A">
            <w:pPr>
              <w:keepLines/>
              <w:rPr>
                <w:rFonts w:ascii="Arial Narrow" w:eastAsia="Times New Roman" w:hAnsi="Arial Narrow"/>
                <w:u w:val="single"/>
              </w:rPr>
            </w:pPr>
          </w:p>
        </w:tc>
      </w:tr>
      <w:tr w:rsidR="00446A8A" w:rsidRPr="00446A8A" w14:paraId="3CA8C34F" w14:textId="77777777" w:rsidTr="00446A8A">
        <w:tc>
          <w:tcPr>
            <w:tcW w:w="1958" w:type="dxa"/>
            <w:tcBorders>
              <w:top w:val="single" w:sz="4" w:space="0" w:color="000000"/>
              <w:left w:val="single" w:sz="4" w:space="0" w:color="000000"/>
              <w:bottom w:val="single" w:sz="4" w:space="0" w:color="000000"/>
              <w:right w:val="single" w:sz="4" w:space="0" w:color="000000"/>
            </w:tcBorders>
            <w:hideMark/>
          </w:tcPr>
          <w:p w14:paraId="16DF2D5B" w14:textId="77777777" w:rsidR="00446A8A" w:rsidRPr="00446A8A" w:rsidRDefault="00446A8A" w:rsidP="00446A8A">
            <w:pPr>
              <w:keepLines/>
              <w:rPr>
                <w:rFonts w:ascii="Arial Narrow" w:eastAsia="Times New Roman" w:hAnsi="Arial Narrow"/>
              </w:rPr>
            </w:pPr>
            <w:r w:rsidRPr="00446A8A">
              <w:rPr>
                <w:rFonts w:ascii="Arial Narrow" w:eastAsia="Times New Roman" w:hAnsi="Arial Narrow"/>
              </w:rPr>
              <w:t xml:space="preserve">2. Does the project or activity involve the utilisation of GR for </w:t>
            </w:r>
            <w:r w:rsidRPr="00446A8A">
              <w:rPr>
                <w:rFonts w:ascii="Arial Narrow" w:eastAsia="Times New Roman" w:hAnsi="Arial Narrow"/>
                <w:b/>
              </w:rPr>
              <w:t>Research and Development (R&amp;D)?</w:t>
            </w:r>
          </w:p>
        </w:tc>
        <w:tc>
          <w:tcPr>
            <w:tcW w:w="3438" w:type="dxa"/>
            <w:tcBorders>
              <w:top w:val="single" w:sz="4" w:space="0" w:color="000000"/>
              <w:left w:val="single" w:sz="4" w:space="0" w:color="000000"/>
              <w:bottom w:val="single" w:sz="4" w:space="0" w:color="000000"/>
              <w:right w:val="single" w:sz="4" w:space="0" w:color="000000"/>
            </w:tcBorders>
            <w:hideMark/>
          </w:tcPr>
          <w:p w14:paraId="0ADBB695" w14:textId="77777777" w:rsidR="00446A8A" w:rsidRPr="00446A8A" w:rsidRDefault="00446A8A" w:rsidP="00446A8A">
            <w:pPr>
              <w:keepLines/>
              <w:rPr>
                <w:rFonts w:ascii="Arial Narrow" w:eastAsia="Times New Roman" w:hAnsi="Arial Narrow"/>
              </w:rPr>
            </w:pPr>
            <w:r w:rsidRPr="00446A8A">
              <w:rPr>
                <w:rFonts w:ascii="Arial Narrow" w:eastAsia="Times New Roman" w:hAnsi="Arial Narrow"/>
              </w:rPr>
              <w:t xml:space="preserve">The EU’s guidance on the NP clarifies that “research” should be defined as “the systematic investigation into and the study of materials and sources </w:t>
            </w:r>
            <w:proofErr w:type="gramStart"/>
            <w:r w:rsidRPr="00446A8A">
              <w:rPr>
                <w:rFonts w:ascii="Arial Narrow" w:eastAsia="Times New Roman" w:hAnsi="Arial Narrow"/>
              </w:rPr>
              <w:t>in order to</w:t>
            </w:r>
            <w:proofErr w:type="gramEnd"/>
            <w:r w:rsidRPr="00446A8A">
              <w:rPr>
                <w:rFonts w:ascii="Arial Narrow" w:eastAsia="Times New Roman" w:hAnsi="Arial Narrow"/>
              </w:rPr>
              <w:t xml:space="preserve"> establish facts and reach new conclusions. It also defines R&amp;D as “creative work undertaken on a systematic basis in order to increase the stock of knowledge, including knowledge of man, culture and society, and the use of the stock of knowledge to devise new applications.”</w:t>
            </w:r>
          </w:p>
          <w:p w14:paraId="29F82049" w14:textId="77777777" w:rsidR="00446A8A" w:rsidRPr="00446A8A" w:rsidRDefault="00446A8A" w:rsidP="00446A8A">
            <w:pPr>
              <w:keepLines/>
              <w:rPr>
                <w:rFonts w:ascii="Arial Narrow" w:eastAsia="Times New Roman" w:hAnsi="Arial Narrow"/>
              </w:rPr>
            </w:pPr>
            <w:r w:rsidRPr="00446A8A">
              <w:rPr>
                <w:rFonts w:ascii="Arial Narrow" w:eastAsia="Times New Roman" w:hAnsi="Arial Narrow"/>
              </w:rPr>
              <w:lastRenderedPageBreak/>
              <w:t xml:space="preserve">Any scientific activity which goes beyond the mere description of a GR is likely to constitute research. </w:t>
            </w:r>
          </w:p>
          <w:p w14:paraId="2EFB662A" w14:textId="77777777" w:rsidR="00446A8A" w:rsidRPr="00446A8A" w:rsidRDefault="00446A8A" w:rsidP="00446A8A">
            <w:pPr>
              <w:keepLines/>
              <w:rPr>
                <w:rFonts w:ascii="Arial Narrow" w:eastAsia="Times New Roman" w:hAnsi="Arial Narrow"/>
              </w:rPr>
            </w:pPr>
            <w:r w:rsidRPr="00446A8A">
              <w:rPr>
                <w:rFonts w:ascii="Arial Narrow" w:eastAsia="Times New Roman" w:hAnsi="Arial Narrow"/>
              </w:rPr>
              <w:t xml:space="preserve">If the project involves R&amp;D on the genetic and/or biochemical composition of GR, including through the application of biotechnology as defined in Article 2 of the Convention on Biological Diversity (CBD), you should answer Yes to this question.  </w:t>
            </w:r>
          </w:p>
          <w:p w14:paraId="7D8B2455" w14:textId="77777777" w:rsidR="00446A8A" w:rsidRPr="00446A8A" w:rsidRDefault="00446A8A" w:rsidP="00446A8A">
            <w:pPr>
              <w:keepLines/>
              <w:rPr>
                <w:rFonts w:ascii="Arial Narrow" w:eastAsia="Times New Roman" w:hAnsi="Arial Narrow"/>
              </w:rPr>
            </w:pPr>
            <w:r w:rsidRPr="00446A8A">
              <w:rPr>
                <w:rFonts w:ascii="Arial Narrow" w:eastAsia="Times New Roman" w:hAnsi="Arial Narrow"/>
              </w:rPr>
              <w:t>“Biotechnology” as defined in Article 2 of the CBD means any technological application that uses biological systems, living organisms, or derivatives thereof, to make or modify products or processes for specific use.</w:t>
            </w:r>
          </w:p>
        </w:tc>
        <w:tc>
          <w:tcPr>
            <w:tcW w:w="836" w:type="dxa"/>
            <w:tcBorders>
              <w:top w:val="single" w:sz="4" w:space="0" w:color="000000"/>
              <w:left w:val="single" w:sz="4" w:space="0" w:color="000000"/>
              <w:bottom w:val="single" w:sz="4" w:space="0" w:color="000000"/>
              <w:right w:val="single" w:sz="4" w:space="0" w:color="000000"/>
            </w:tcBorders>
          </w:tcPr>
          <w:p w14:paraId="5DFDD13B" w14:textId="77777777" w:rsidR="00446A8A" w:rsidRPr="00446A8A" w:rsidRDefault="00446A8A" w:rsidP="00446A8A">
            <w:pPr>
              <w:keepLines/>
              <w:rPr>
                <w:rFonts w:ascii="Arial Narrow" w:eastAsia="Times New Roman" w:hAnsi="Arial Narrow"/>
                <w:u w:val="single"/>
              </w:rPr>
            </w:pPr>
          </w:p>
        </w:tc>
        <w:tc>
          <w:tcPr>
            <w:tcW w:w="851" w:type="dxa"/>
            <w:tcBorders>
              <w:top w:val="single" w:sz="4" w:space="0" w:color="000000"/>
              <w:left w:val="single" w:sz="4" w:space="0" w:color="000000"/>
              <w:bottom w:val="single" w:sz="4" w:space="0" w:color="000000"/>
              <w:right w:val="single" w:sz="4" w:space="0" w:color="000000"/>
            </w:tcBorders>
          </w:tcPr>
          <w:p w14:paraId="6D50A41D" w14:textId="77777777" w:rsidR="00446A8A" w:rsidRPr="00446A8A" w:rsidRDefault="00446A8A" w:rsidP="00446A8A">
            <w:pPr>
              <w:keepLines/>
              <w:rPr>
                <w:rFonts w:ascii="Arial Narrow" w:eastAsia="Times New Roman" w:hAnsi="Arial Narrow"/>
                <w:u w:val="single"/>
              </w:rPr>
            </w:pPr>
          </w:p>
        </w:tc>
        <w:tc>
          <w:tcPr>
            <w:tcW w:w="1933" w:type="dxa"/>
            <w:tcBorders>
              <w:top w:val="single" w:sz="4" w:space="0" w:color="000000"/>
              <w:left w:val="single" w:sz="4" w:space="0" w:color="000000"/>
              <w:bottom w:val="single" w:sz="4" w:space="0" w:color="000000"/>
              <w:right w:val="single" w:sz="4" w:space="0" w:color="000000"/>
            </w:tcBorders>
          </w:tcPr>
          <w:p w14:paraId="49B4EB04" w14:textId="77777777" w:rsidR="00446A8A" w:rsidRPr="00446A8A" w:rsidRDefault="00446A8A" w:rsidP="00446A8A">
            <w:pPr>
              <w:keepLines/>
              <w:rPr>
                <w:rFonts w:ascii="Arial Narrow" w:eastAsia="Times New Roman" w:hAnsi="Arial Narrow"/>
                <w:u w:val="single"/>
              </w:rPr>
            </w:pPr>
          </w:p>
        </w:tc>
      </w:tr>
      <w:tr w:rsidR="00446A8A" w:rsidRPr="00446A8A" w14:paraId="2E25C607" w14:textId="77777777" w:rsidTr="00446A8A">
        <w:tc>
          <w:tcPr>
            <w:tcW w:w="1958" w:type="dxa"/>
            <w:tcBorders>
              <w:top w:val="single" w:sz="4" w:space="0" w:color="000000"/>
              <w:left w:val="single" w:sz="4" w:space="0" w:color="000000"/>
              <w:bottom w:val="single" w:sz="4" w:space="0" w:color="000000"/>
              <w:right w:val="single" w:sz="4" w:space="0" w:color="000000"/>
            </w:tcBorders>
            <w:hideMark/>
          </w:tcPr>
          <w:p w14:paraId="315972C9" w14:textId="77777777" w:rsidR="00446A8A" w:rsidRPr="00446A8A" w:rsidRDefault="00446A8A" w:rsidP="00446A8A">
            <w:pPr>
              <w:keepLines/>
              <w:rPr>
                <w:rFonts w:ascii="Arial Narrow" w:eastAsia="Times New Roman" w:hAnsi="Arial Narrow"/>
              </w:rPr>
            </w:pPr>
            <w:r w:rsidRPr="00446A8A">
              <w:rPr>
                <w:rFonts w:ascii="Arial Narrow" w:eastAsia="Times New Roman" w:hAnsi="Arial Narrow"/>
              </w:rPr>
              <w:t>3. Is the provider country a party to the NP?</w:t>
            </w:r>
          </w:p>
        </w:tc>
        <w:tc>
          <w:tcPr>
            <w:tcW w:w="3438" w:type="dxa"/>
            <w:tcBorders>
              <w:top w:val="single" w:sz="4" w:space="0" w:color="000000"/>
              <w:left w:val="single" w:sz="4" w:space="0" w:color="000000"/>
              <w:bottom w:val="single" w:sz="4" w:space="0" w:color="000000"/>
              <w:right w:val="single" w:sz="4" w:space="0" w:color="000000"/>
            </w:tcBorders>
            <w:hideMark/>
          </w:tcPr>
          <w:p w14:paraId="4F954EA1" w14:textId="77777777" w:rsidR="00446A8A" w:rsidRPr="00446A8A" w:rsidRDefault="00446A8A" w:rsidP="00446A8A">
            <w:pPr>
              <w:spacing w:after="160" w:line="254" w:lineRule="auto"/>
              <w:rPr>
                <w:rFonts w:ascii="Arial Narrow" w:hAnsi="Arial Narrow"/>
              </w:rPr>
            </w:pPr>
            <w:r w:rsidRPr="00446A8A">
              <w:rPr>
                <w:rFonts w:ascii="Arial Narrow" w:hAnsi="Arial Narrow"/>
              </w:rPr>
              <w:t xml:space="preserve">You can check this by consulting the Access and Benefit Clearing House website. </w:t>
            </w:r>
            <w:hyperlink r:id="rId8" w:history="1">
              <w:r w:rsidRPr="00446A8A">
                <w:rPr>
                  <w:rFonts w:ascii="Arial Narrow" w:hAnsi="Arial Narrow"/>
                  <w:color w:val="0000FF"/>
                  <w:u w:val="single"/>
                </w:rPr>
                <w:t>https://absch.cbd.int/</w:t>
              </w:r>
            </w:hyperlink>
            <w:r w:rsidRPr="00446A8A">
              <w:rPr>
                <w:rFonts w:ascii="Arial Narrow" w:hAnsi="Arial Narrow"/>
              </w:rPr>
              <w:t xml:space="preserve"> </w:t>
            </w:r>
          </w:p>
          <w:p w14:paraId="2DF64683" w14:textId="77777777" w:rsidR="00446A8A" w:rsidRPr="00446A8A" w:rsidRDefault="00446A8A" w:rsidP="00446A8A">
            <w:pPr>
              <w:spacing w:after="160" w:line="254" w:lineRule="auto"/>
              <w:rPr>
                <w:rFonts w:ascii="Arial Narrow" w:hAnsi="Arial Narrow"/>
              </w:rPr>
            </w:pPr>
            <w:r w:rsidRPr="00446A8A">
              <w:rPr>
                <w:rFonts w:ascii="Arial Narrow" w:hAnsi="Arial Narrow"/>
              </w:rPr>
              <w:t>If the provider country is a party to the NP, then the resources from that country are in scope if they meet all other criteria.</w:t>
            </w:r>
          </w:p>
          <w:p w14:paraId="5BFBE921" w14:textId="77777777" w:rsidR="00446A8A" w:rsidRPr="00446A8A" w:rsidRDefault="00446A8A" w:rsidP="00446A8A">
            <w:pPr>
              <w:keepLines/>
              <w:rPr>
                <w:rFonts w:ascii="Arial Narrow" w:eastAsia="Times New Roman" w:hAnsi="Arial Narrow"/>
              </w:rPr>
            </w:pPr>
            <w:r w:rsidRPr="00446A8A">
              <w:rPr>
                <w:rFonts w:ascii="Arial Narrow" w:eastAsia="Times New Roman" w:hAnsi="Arial Narrow"/>
              </w:rPr>
              <w:t xml:space="preserve">If the provider country is not a party to the NP, then resources from that country are not in scope. </w:t>
            </w:r>
          </w:p>
        </w:tc>
        <w:tc>
          <w:tcPr>
            <w:tcW w:w="836" w:type="dxa"/>
            <w:tcBorders>
              <w:top w:val="single" w:sz="4" w:space="0" w:color="000000"/>
              <w:left w:val="single" w:sz="4" w:space="0" w:color="000000"/>
              <w:bottom w:val="single" w:sz="4" w:space="0" w:color="000000"/>
              <w:right w:val="single" w:sz="4" w:space="0" w:color="000000"/>
            </w:tcBorders>
          </w:tcPr>
          <w:p w14:paraId="6A2B7326" w14:textId="77777777" w:rsidR="00446A8A" w:rsidRPr="00446A8A" w:rsidRDefault="00446A8A" w:rsidP="00446A8A">
            <w:pPr>
              <w:keepLines/>
              <w:rPr>
                <w:rFonts w:ascii="Arial Narrow" w:eastAsia="Times New Roman" w:hAnsi="Arial Narrow"/>
                <w:u w:val="single"/>
              </w:rPr>
            </w:pPr>
          </w:p>
        </w:tc>
        <w:tc>
          <w:tcPr>
            <w:tcW w:w="851" w:type="dxa"/>
            <w:tcBorders>
              <w:top w:val="single" w:sz="4" w:space="0" w:color="000000"/>
              <w:left w:val="single" w:sz="4" w:space="0" w:color="000000"/>
              <w:bottom w:val="single" w:sz="4" w:space="0" w:color="000000"/>
              <w:right w:val="single" w:sz="4" w:space="0" w:color="000000"/>
            </w:tcBorders>
          </w:tcPr>
          <w:p w14:paraId="1FED62AE" w14:textId="77777777" w:rsidR="00446A8A" w:rsidRPr="00446A8A" w:rsidRDefault="00446A8A" w:rsidP="00446A8A">
            <w:pPr>
              <w:keepLines/>
              <w:rPr>
                <w:rFonts w:ascii="Arial Narrow" w:eastAsia="Times New Roman" w:hAnsi="Arial Narrow"/>
                <w:u w:val="single"/>
              </w:rPr>
            </w:pPr>
          </w:p>
        </w:tc>
        <w:tc>
          <w:tcPr>
            <w:tcW w:w="1933" w:type="dxa"/>
            <w:tcBorders>
              <w:top w:val="single" w:sz="4" w:space="0" w:color="000000"/>
              <w:left w:val="single" w:sz="4" w:space="0" w:color="000000"/>
              <w:bottom w:val="single" w:sz="4" w:space="0" w:color="000000"/>
              <w:right w:val="single" w:sz="4" w:space="0" w:color="000000"/>
            </w:tcBorders>
          </w:tcPr>
          <w:p w14:paraId="70EF79EF" w14:textId="77777777" w:rsidR="00446A8A" w:rsidRPr="00446A8A" w:rsidRDefault="00446A8A" w:rsidP="00446A8A">
            <w:pPr>
              <w:keepLines/>
              <w:rPr>
                <w:rFonts w:ascii="Arial Narrow" w:eastAsia="Times New Roman" w:hAnsi="Arial Narrow"/>
                <w:u w:val="single"/>
              </w:rPr>
            </w:pPr>
          </w:p>
        </w:tc>
      </w:tr>
      <w:tr w:rsidR="00446A8A" w:rsidRPr="00446A8A" w14:paraId="75FEE3BD" w14:textId="77777777" w:rsidTr="00446A8A">
        <w:tc>
          <w:tcPr>
            <w:tcW w:w="1958" w:type="dxa"/>
            <w:tcBorders>
              <w:top w:val="single" w:sz="4" w:space="0" w:color="000000"/>
              <w:left w:val="single" w:sz="4" w:space="0" w:color="000000"/>
              <w:bottom w:val="single" w:sz="4" w:space="0" w:color="000000"/>
              <w:right w:val="single" w:sz="4" w:space="0" w:color="000000"/>
            </w:tcBorders>
            <w:hideMark/>
          </w:tcPr>
          <w:p w14:paraId="7A2ACC49" w14:textId="77777777" w:rsidR="00446A8A" w:rsidRPr="00446A8A" w:rsidRDefault="00446A8A" w:rsidP="00446A8A">
            <w:pPr>
              <w:keepLines/>
              <w:rPr>
                <w:rFonts w:ascii="Arial Narrow" w:eastAsia="Times New Roman" w:hAnsi="Arial Narrow"/>
              </w:rPr>
            </w:pPr>
            <w:r w:rsidRPr="00446A8A">
              <w:rPr>
                <w:rFonts w:ascii="Arial Narrow" w:eastAsia="Times New Roman" w:hAnsi="Arial Narrow"/>
              </w:rPr>
              <w:t>4. Is the utilisation taking place within the EU?</w:t>
            </w:r>
          </w:p>
        </w:tc>
        <w:tc>
          <w:tcPr>
            <w:tcW w:w="3438" w:type="dxa"/>
            <w:tcBorders>
              <w:top w:val="single" w:sz="4" w:space="0" w:color="000000"/>
              <w:left w:val="single" w:sz="4" w:space="0" w:color="000000"/>
              <w:bottom w:val="single" w:sz="4" w:space="0" w:color="000000"/>
              <w:right w:val="single" w:sz="4" w:space="0" w:color="000000"/>
            </w:tcBorders>
            <w:hideMark/>
          </w:tcPr>
          <w:p w14:paraId="56EC133D" w14:textId="77777777" w:rsidR="00446A8A" w:rsidRPr="00446A8A" w:rsidRDefault="00446A8A" w:rsidP="00446A8A">
            <w:pPr>
              <w:keepLines/>
              <w:rPr>
                <w:rFonts w:ascii="Arial Narrow" w:eastAsia="Times New Roman" w:hAnsi="Arial Narrow"/>
              </w:rPr>
            </w:pPr>
            <w:r w:rsidRPr="00446A8A">
              <w:rPr>
                <w:rFonts w:ascii="Arial Narrow" w:eastAsia="Times New Roman" w:hAnsi="Arial Narrow"/>
              </w:rPr>
              <w:t>GR which are utilised outside of the EU are not in scope.</w:t>
            </w:r>
          </w:p>
          <w:p w14:paraId="39AAFBC7" w14:textId="77777777" w:rsidR="00446A8A" w:rsidRPr="00446A8A" w:rsidRDefault="00446A8A" w:rsidP="00446A8A">
            <w:pPr>
              <w:keepLines/>
              <w:rPr>
                <w:rFonts w:ascii="Arial Narrow" w:eastAsia="Times New Roman" w:hAnsi="Arial Narrow"/>
                <w:sz w:val="28"/>
                <w:szCs w:val="28"/>
              </w:rPr>
            </w:pPr>
            <w:r w:rsidRPr="00446A8A">
              <w:rPr>
                <w:rFonts w:ascii="Arial Narrow" w:eastAsia="Times New Roman" w:hAnsi="Arial Narrow"/>
              </w:rPr>
              <w:t>GR which are utilised in the EU are in scope if they meet all other criteria.</w:t>
            </w:r>
          </w:p>
        </w:tc>
        <w:tc>
          <w:tcPr>
            <w:tcW w:w="836" w:type="dxa"/>
            <w:tcBorders>
              <w:top w:val="single" w:sz="4" w:space="0" w:color="000000"/>
              <w:left w:val="single" w:sz="4" w:space="0" w:color="000000"/>
              <w:bottom w:val="single" w:sz="4" w:space="0" w:color="000000"/>
              <w:right w:val="single" w:sz="4" w:space="0" w:color="000000"/>
            </w:tcBorders>
          </w:tcPr>
          <w:p w14:paraId="6F89DB5B" w14:textId="77777777" w:rsidR="00446A8A" w:rsidRPr="00446A8A" w:rsidRDefault="00446A8A" w:rsidP="00446A8A">
            <w:pPr>
              <w:keepLines/>
              <w:rPr>
                <w:rFonts w:ascii="Arial Narrow" w:eastAsia="Times New Roman" w:hAnsi="Arial Narrow"/>
                <w:u w:val="single"/>
              </w:rPr>
            </w:pPr>
          </w:p>
        </w:tc>
        <w:tc>
          <w:tcPr>
            <w:tcW w:w="851" w:type="dxa"/>
            <w:tcBorders>
              <w:top w:val="single" w:sz="4" w:space="0" w:color="000000"/>
              <w:left w:val="single" w:sz="4" w:space="0" w:color="000000"/>
              <w:bottom w:val="single" w:sz="4" w:space="0" w:color="000000"/>
              <w:right w:val="single" w:sz="4" w:space="0" w:color="000000"/>
            </w:tcBorders>
          </w:tcPr>
          <w:p w14:paraId="16B118A3" w14:textId="77777777" w:rsidR="00446A8A" w:rsidRPr="00446A8A" w:rsidRDefault="00446A8A" w:rsidP="00446A8A">
            <w:pPr>
              <w:keepLines/>
              <w:rPr>
                <w:rFonts w:ascii="Arial Narrow" w:eastAsia="Times New Roman" w:hAnsi="Arial Narrow"/>
                <w:u w:val="single"/>
              </w:rPr>
            </w:pPr>
          </w:p>
        </w:tc>
        <w:tc>
          <w:tcPr>
            <w:tcW w:w="1933" w:type="dxa"/>
            <w:tcBorders>
              <w:top w:val="single" w:sz="4" w:space="0" w:color="000000"/>
              <w:left w:val="single" w:sz="4" w:space="0" w:color="000000"/>
              <w:bottom w:val="single" w:sz="4" w:space="0" w:color="000000"/>
              <w:right w:val="single" w:sz="4" w:space="0" w:color="000000"/>
            </w:tcBorders>
          </w:tcPr>
          <w:p w14:paraId="230AF251" w14:textId="77777777" w:rsidR="00446A8A" w:rsidRPr="00446A8A" w:rsidRDefault="00446A8A" w:rsidP="00446A8A">
            <w:pPr>
              <w:keepLines/>
              <w:rPr>
                <w:rFonts w:ascii="Arial Narrow" w:eastAsia="Times New Roman" w:hAnsi="Arial Narrow"/>
                <w:u w:val="single"/>
              </w:rPr>
            </w:pPr>
          </w:p>
        </w:tc>
      </w:tr>
      <w:tr w:rsidR="00446A8A" w:rsidRPr="00446A8A" w14:paraId="5E72760C" w14:textId="77777777" w:rsidTr="00446A8A">
        <w:tc>
          <w:tcPr>
            <w:tcW w:w="1958" w:type="dxa"/>
            <w:tcBorders>
              <w:top w:val="single" w:sz="4" w:space="0" w:color="000000"/>
              <w:left w:val="single" w:sz="4" w:space="0" w:color="000000"/>
              <w:bottom w:val="single" w:sz="4" w:space="0" w:color="000000"/>
              <w:right w:val="single" w:sz="4" w:space="0" w:color="000000"/>
            </w:tcBorders>
            <w:hideMark/>
          </w:tcPr>
          <w:p w14:paraId="4E73D374" w14:textId="77777777" w:rsidR="00446A8A" w:rsidRPr="00446A8A" w:rsidRDefault="00446A8A" w:rsidP="00446A8A">
            <w:pPr>
              <w:keepLines/>
              <w:rPr>
                <w:rFonts w:ascii="Arial Narrow" w:eastAsia="Times New Roman" w:hAnsi="Arial Narrow"/>
              </w:rPr>
            </w:pPr>
            <w:r w:rsidRPr="00446A8A">
              <w:rPr>
                <w:rFonts w:ascii="Arial Narrow" w:eastAsia="Times New Roman" w:hAnsi="Arial Narrow"/>
              </w:rPr>
              <w:t>5. Does the provider country have applicable access measures in place?</w:t>
            </w:r>
          </w:p>
        </w:tc>
        <w:tc>
          <w:tcPr>
            <w:tcW w:w="3438" w:type="dxa"/>
            <w:tcBorders>
              <w:top w:val="single" w:sz="4" w:space="0" w:color="000000"/>
              <w:left w:val="single" w:sz="4" w:space="0" w:color="000000"/>
              <w:bottom w:val="single" w:sz="4" w:space="0" w:color="000000"/>
              <w:right w:val="single" w:sz="4" w:space="0" w:color="000000"/>
            </w:tcBorders>
            <w:hideMark/>
          </w:tcPr>
          <w:p w14:paraId="4C83E47A" w14:textId="77777777" w:rsidR="00446A8A" w:rsidRPr="00446A8A" w:rsidRDefault="00446A8A" w:rsidP="00446A8A">
            <w:pPr>
              <w:spacing w:after="160" w:line="254" w:lineRule="auto"/>
              <w:rPr>
                <w:rFonts w:ascii="Arial Narrow" w:hAnsi="Arial Narrow"/>
              </w:rPr>
            </w:pPr>
            <w:r w:rsidRPr="00446A8A">
              <w:rPr>
                <w:rFonts w:ascii="Arial Narrow" w:hAnsi="Arial Narrow"/>
              </w:rPr>
              <w:t xml:space="preserve">You can check this by consulting the Access and Benefit Clearing House website. </w:t>
            </w:r>
            <w:hyperlink r:id="rId9" w:history="1">
              <w:r w:rsidRPr="00446A8A">
                <w:rPr>
                  <w:rFonts w:ascii="Arial Narrow" w:hAnsi="Arial Narrow"/>
                  <w:color w:val="0000FF"/>
                  <w:u w:val="single"/>
                </w:rPr>
                <w:t>https://absch.cbd.int/</w:t>
              </w:r>
            </w:hyperlink>
            <w:r w:rsidRPr="00446A8A">
              <w:rPr>
                <w:rFonts w:ascii="Arial Narrow" w:hAnsi="Arial Narrow"/>
              </w:rPr>
              <w:t xml:space="preserve"> </w:t>
            </w:r>
          </w:p>
          <w:p w14:paraId="7AE10644" w14:textId="77777777" w:rsidR="00446A8A" w:rsidRPr="00446A8A" w:rsidRDefault="00446A8A" w:rsidP="00446A8A">
            <w:pPr>
              <w:keepLines/>
              <w:rPr>
                <w:rFonts w:ascii="Arial Narrow" w:eastAsia="Times New Roman" w:hAnsi="Arial Narrow"/>
              </w:rPr>
            </w:pPr>
            <w:r w:rsidRPr="00446A8A">
              <w:rPr>
                <w:rFonts w:ascii="Arial Narrow" w:eastAsia="Times New Roman" w:hAnsi="Arial Narrow"/>
              </w:rPr>
              <w:lastRenderedPageBreak/>
              <w:t xml:space="preserve">If the provider country has not established access measures, or the measures do not include the GR in question, the activity is not in scope. The only exception to this is where GR (and particularly </w:t>
            </w:r>
            <w:proofErr w:type="spellStart"/>
            <w:r w:rsidRPr="00446A8A">
              <w:rPr>
                <w:rFonts w:ascii="Arial Narrow" w:eastAsia="Times New Roman" w:hAnsi="Arial Narrow"/>
              </w:rPr>
              <w:t>aTK</w:t>
            </w:r>
            <w:proofErr w:type="spellEnd"/>
            <w:r w:rsidRPr="00446A8A">
              <w:rPr>
                <w:rFonts w:ascii="Arial Narrow" w:eastAsia="Times New Roman" w:hAnsi="Arial Narrow"/>
              </w:rPr>
              <w:t xml:space="preserve"> associated with the GR) comes from an indigenous local community – in this case it is always best practice to mutually agree terms for access which take the views of the community into account even if it is not specifically required by national legislation.</w:t>
            </w:r>
          </w:p>
          <w:p w14:paraId="25BA58C3" w14:textId="77777777" w:rsidR="00446A8A" w:rsidRPr="00446A8A" w:rsidRDefault="00446A8A" w:rsidP="00446A8A">
            <w:pPr>
              <w:keepLines/>
              <w:rPr>
                <w:rFonts w:ascii="Arial Narrow" w:eastAsia="Times New Roman" w:hAnsi="Arial Narrow"/>
              </w:rPr>
            </w:pPr>
            <w:r w:rsidRPr="00446A8A">
              <w:rPr>
                <w:rFonts w:ascii="Arial Narrow" w:eastAsia="Times New Roman" w:hAnsi="Arial Narrow"/>
              </w:rPr>
              <w:t xml:space="preserve">If it is unclear whether the provider country has access measures, we will need to contact the National Focal Point to obtain clarification. </w:t>
            </w:r>
          </w:p>
        </w:tc>
        <w:tc>
          <w:tcPr>
            <w:tcW w:w="836" w:type="dxa"/>
            <w:tcBorders>
              <w:top w:val="single" w:sz="4" w:space="0" w:color="000000"/>
              <w:left w:val="single" w:sz="4" w:space="0" w:color="000000"/>
              <w:bottom w:val="single" w:sz="4" w:space="0" w:color="000000"/>
              <w:right w:val="single" w:sz="4" w:space="0" w:color="000000"/>
            </w:tcBorders>
          </w:tcPr>
          <w:p w14:paraId="78EC06A1" w14:textId="77777777" w:rsidR="00446A8A" w:rsidRPr="00446A8A" w:rsidRDefault="00446A8A" w:rsidP="00446A8A">
            <w:pPr>
              <w:keepLines/>
              <w:rPr>
                <w:rFonts w:ascii="Arial Narrow" w:eastAsia="Times New Roman" w:hAnsi="Arial Narrow"/>
                <w:u w:val="single"/>
              </w:rPr>
            </w:pPr>
          </w:p>
        </w:tc>
        <w:tc>
          <w:tcPr>
            <w:tcW w:w="851" w:type="dxa"/>
            <w:tcBorders>
              <w:top w:val="single" w:sz="4" w:space="0" w:color="000000"/>
              <w:left w:val="single" w:sz="4" w:space="0" w:color="000000"/>
              <w:bottom w:val="single" w:sz="4" w:space="0" w:color="000000"/>
              <w:right w:val="single" w:sz="4" w:space="0" w:color="000000"/>
            </w:tcBorders>
          </w:tcPr>
          <w:p w14:paraId="11C74DDF" w14:textId="77777777" w:rsidR="00446A8A" w:rsidRPr="00446A8A" w:rsidRDefault="00446A8A" w:rsidP="00446A8A">
            <w:pPr>
              <w:keepLines/>
              <w:rPr>
                <w:rFonts w:ascii="Arial Narrow" w:eastAsia="Times New Roman" w:hAnsi="Arial Narrow"/>
                <w:u w:val="single"/>
              </w:rPr>
            </w:pPr>
          </w:p>
        </w:tc>
        <w:tc>
          <w:tcPr>
            <w:tcW w:w="1933" w:type="dxa"/>
            <w:tcBorders>
              <w:top w:val="single" w:sz="4" w:space="0" w:color="000000"/>
              <w:left w:val="single" w:sz="4" w:space="0" w:color="000000"/>
              <w:bottom w:val="single" w:sz="4" w:space="0" w:color="000000"/>
              <w:right w:val="single" w:sz="4" w:space="0" w:color="000000"/>
            </w:tcBorders>
          </w:tcPr>
          <w:p w14:paraId="26030F66" w14:textId="77777777" w:rsidR="00446A8A" w:rsidRPr="00446A8A" w:rsidRDefault="00446A8A" w:rsidP="00446A8A">
            <w:pPr>
              <w:keepLines/>
              <w:rPr>
                <w:rFonts w:ascii="Arial Narrow" w:eastAsia="Times New Roman" w:hAnsi="Arial Narrow"/>
                <w:u w:val="single"/>
              </w:rPr>
            </w:pPr>
          </w:p>
        </w:tc>
      </w:tr>
      <w:tr w:rsidR="00446A8A" w:rsidRPr="00446A8A" w14:paraId="2C99DE6C" w14:textId="77777777" w:rsidTr="00446A8A">
        <w:tc>
          <w:tcPr>
            <w:tcW w:w="1958" w:type="dxa"/>
            <w:tcBorders>
              <w:top w:val="single" w:sz="4" w:space="0" w:color="000000"/>
              <w:left w:val="single" w:sz="4" w:space="0" w:color="000000"/>
              <w:bottom w:val="single" w:sz="4" w:space="0" w:color="000000"/>
              <w:right w:val="single" w:sz="4" w:space="0" w:color="000000"/>
            </w:tcBorders>
            <w:hideMark/>
          </w:tcPr>
          <w:p w14:paraId="68279AD3" w14:textId="77777777" w:rsidR="00446A8A" w:rsidRPr="00446A8A" w:rsidRDefault="00446A8A" w:rsidP="00446A8A">
            <w:pPr>
              <w:keepLines/>
              <w:rPr>
                <w:rFonts w:ascii="Arial Narrow" w:eastAsia="Times New Roman" w:hAnsi="Arial Narrow"/>
              </w:rPr>
            </w:pPr>
            <w:r w:rsidRPr="00446A8A">
              <w:rPr>
                <w:rFonts w:ascii="Arial Narrow" w:eastAsia="Times New Roman" w:hAnsi="Arial Narrow"/>
              </w:rPr>
              <w:t>6. Does the GR fit within the geographic scope covered by the NP?</w:t>
            </w:r>
          </w:p>
        </w:tc>
        <w:tc>
          <w:tcPr>
            <w:tcW w:w="3438" w:type="dxa"/>
            <w:tcBorders>
              <w:top w:val="single" w:sz="4" w:space="0" w:color="000000"/>
              <w:left w:val="single" w:sz="4" w:space="0" w:color="000000"/>
              <w:bottom w:val="single" w:sz="4" w:space="0" w:color="000000"/>
              <w:right w:val="single" w:sz="4" w:space="0" w:color="000000"/>
            </w:tcBorders>
          </w:tcPr>
          <w:p w14:paraId="526B8324" w14:textId="77777777" w:rsidR="00446A8A" w:rsidRPr="00446A8A" w:rsidRDefault="00446A8A" w:rsidP="00446A8A">
            <w:pPr>
              <w:keepLines/>
              <w:rPr>
                <w:rFonts w:ascii="Arial Narrow" w:eastAsia="Times New Roman" w:hAnsi="Arial Narrow"/>
              </w:rPr>
            </w:pPr>
            <w:r w:rsidRPr="00446A8A">
              <w:rPr>
                <w:rFonts w:ascii="Arial Narrow" w:eastAsia="Times New Roman" w:hAnsi="Arial Narrow"/>
              </w:rPr>
              <w:t>GR which are found beyond areas of national jurisdiction (e.g. the high seas or areas covered by the Antarctic Treaty System) are not in scope.</w:t>
            </w:r>
          </w:p>
          <w:p w14:paraId="0192EAE7" w14:textId="77777777" w:rsidR="00446A8A" w:rsidRPr="00446A8A" w:rsidRDefault="00446A8A" w:rsidP="00446A8A">
            <w:pPr>
              <w:keepLines/>
              <w:rPr>
                <w:rFonts w:ascii="Arial Narrow" w:eastAsia="Times New Roman" w:hAnsi="Arial Narrow"/>
              </w:rPr>
            </w:pPr>
            <w:r w:rsidRPr="00446A8A">
              <w:rPr>
                <w:rFonts w:ascii="Arial Narrow" w:eastAsia="Times New Roman" w:hAnsi="Arial Narrow"/>
              </w:rPr>
              <w:t xml:space="preserve">GR over which a State exercises sovereign rights (e.g. taken from the geographical area of that country where its laws apply) are in scope if they meet all other criteria. </w:t>
            </w:r>
          </w:p>
          <w:p w14:paraId="7C4A45D4" w14:textId="77777777" w:rsidR="00446A8A" w:rsidRPr="00446A8A" w:rsidRDefault="00446A8A" w:rsidP="00446A8A">
            <w:pPr>
              <w:spacing w:after="160" w:line="254" w:lineRule="auto"/>
              <w:rPr>
                <w:rFonts w:ascii="Arial Narrow" w:hAnsi="Arial Narrow"/>
              </w:rPr>
            </w:pPr>
          </w:p>
        </w:tc>
        <w:tc>
          <w:tcPr>
            <w:tcW w:w="836" w:type="dxa"/>
            <w:tcBorders>
              <w:top w:val="single" w:sz="4" w:space="0" w:color="000000"/>
              <w:left w:val="single" w:sz="4" w:space="0" w:color="000000"/>
              <w:bottom w:val="single" w:sz="4" w:space="0" w:color="000000"/>
              <w:right w:val="single" w:sz="4" w:space="0" w:color="000000"/>
            </w:tcBorders>
          </w:tcPr>
          <w:p w14:paraId="4865D2C6" w14:textId="77777777" w:rsidR="00446A8A" w:rsidRPr="00446A8A" w:rsidRDefault="00446A8A" w:rsidP="00446A8A">
            <w:pPr>
              <w:keepLines/>
              <w:rPr>
                <w:rFonts w:ascii="Arial Narrow" w:eastAsia="Times New Roman" w:hAnsi="Arial Narrow"/>
                <w:u w:val="single"/>
              </w:rPr>
            </w:pPr>
          </w:p>
        </w:tc>
        <w:tc>
          <w:tcPr>
            <w:tcW w:w="851" w:type="dxa"/>
            <w:tcBorders>
              <w:top w:val="single" w:sz="4" w:space="0" w:color="000000"/>
              <w:left w:val="single" w:sz="4" w:space="0" w:color="000000"/>
              <w:bottom w:val="single" w:sz="4" w:space="0" w:color="000000"/>
              <w:right w:val="single" w:sz="4" w:space="0" w:color="000000"/>
            </w:tcBorders>
          </w:tcPr>
          <w:p w14:paraId="0553C595" w14:textId="77777777" w:rsidR="00446A8A" w:rsidRPr="00446A8A" w:rsidRDefault="00446A8A" w:rsidP="00446A8A">
            <w:pPr>
              <w:keepLines/>
              <w:rPr>
                <w:rFonts w:ascii="Arial Narrow" w:eastAsia="Times New Roman" w:hAnsi="Arial Narrow"/>
                <w:u w:val="single"/>
              </w:rPr>
            </w:pPr>
          </w:p>
        </w:tc>
        <w:tc>
          <w:tcPr>
            <w:tcW w:w="1933" w:type="dxa"/>
            <w:tcBorders>
              <w:top w:val="single" w:sz="4" w:space="0" w:color="000000"/>
              <w:left w:val="single" w:sz="4" w:space="0" w:color="000000"/>
              <w:bottom w:val="single" w:sz="4" w:space="0" w:color="000000"/>
              <w:right w:val="single" w:sz="4" w:space="0" w:color="000000"/>
            </w:tcBorders>
          </w:tcPr>
          <w:p w14:paraId="79CF9BD3" w14:textId="77777777" w:rsidR="00446A8A" w:rsidRPr="00446A8A" w:rsidRDefault="00446A8A" w:rsidP="00446A8A">
            <w:pPr>
              <w:keepLines/>
              <w:rPr>
                <w:rFonts w:ascii="Arial Narrow" w:eastAsia="Times New Roman" w:hAnsi="Arial Narrow"/>
                <w:u w:val="single"/>
              </w:rPr>
            </w:pPr>
          </w:p>
        </w:tc>
      </w:tr>
      <w:tr w:rsidR="00446A8A" w:rsidRPr="00446A8A" w14:paraId="198F09F9" w14:textId="77777777" w:rsidTr="00446A8A">
        <w:tc>
          <w:tcPr>
            <w:tcW w:w="1958" w:type="dxa"/>
            <w:tcBorders>
              <w:top w:val="single" w:sz="4" w:space="0" w:color="000000"/>
              <w:left w:val="single" w:sz="4" w:space="0" w:color="000000"/>
              <w:bottom w:val="single" w:sz="4" w:space="0" w:color="000000"/>
              <w:right w:val="single" w:sz="4" w:space="0" w:color="000000"/>
            </w:tcBorders>
            <w:hideMark/>
          </w:tcPr>
          <w:p w14:paraId="25F696F3" w14:textId="77777777" w:rsidR="00446A8A" w:rsidRPr="00446A8A" w:rsidRDefault="00446A8A" w:rsidP="00446A8A">
            <w:pPr>
              <w:keepLines/>
              <w:rPr>
                <w:rFonts w:ascii="Arial Narrow" w:eastAsia="Times New Roman" w:hAnsi="Arial Narrow"/>
              </w:rPr>
            </w:pPr>
            <w:r w:rsidRPr="00446A8A">
              <w:rPr>
                <w:rFonts w:ascii="Arial Narrow" w:eastAsia="Times New Roman" w:hAnsi="Arial Narrow"/>
              </w:rPr>
              <w:t>7. Were the GR accessed after the NP entered into force?</w:t>
            </w:r>
          </w:p>
        </w:tc>
        <w:tc>
          <w:tcPr>
            <w:tcW w:w="3438" w:type="dxa"/>
            <w:tcBorders>
              <w:top w:val="single" w:sz="4" w:space="0" w:color="000000"/>
              <w:left w:val="single" w:sz="4" w:space="0" w:color="000000"/>
              <w:bottom w:val="single" w:sz="4" w:space="0" w:color="000000"/>
              <w:right w:val="single" w:sz="4" w:space="0" w:color="000000"/>
            </w:tcBorders>
            <w:hideMark/>
          </w:tcPr>
          <w:p w14:paraId="0009A739" w14:textId="77777777" w:rsidR="00446A8A" w:rsidRPr="00446A8A" w:rsidRDefault="00446A8A" w:rsidP="00446A8A">
            <w:pPr>
              <w:keepLines/>
              <w:rPr>
                <w:rFonts w:ascii="Arial Narrow" w:eastAsia="Times New Roman" w:hAnsi="Arial Narrow"/>
              </w:rPr>
            </w:pPr>
            <w:r w:rsidRPr="00446A8A">
              <w:rPr>
                <w:rFonts w:ascii="Arial Narrow" w:eastAsia="Times New Roman" w:hAnsi="Arial Narrow"/>
              </w:rPr>
              <w:t>GR accessed after the 12th Oct 2014 are in scope if they meet all other criteria. This may apply to GR accessed indirectly from an intermediary depending on whether they meet all other criteria and, on the conditions, attached to the GR when passing from the provider country to the intermediary.</w:t>
            </w:r>
          </w:p>
          <w:p w14:paraId="0D60D900" w14:textId="77777777" w:rsidR="00446A8A" w:rsidRPr="00446A8A" w:rsidRDefault="00446A8A" w:rsidP="00446A8A">
            <w:pPr>
              <w:keepLines/>
              <w:rPr>
                <w:rFonts w:ascii="Arial Narrow" w:eastAsia="Times New Roman" w:hAnsi="Arial Narrow"/>
              </w:rPr>
            </w:pPr>
            <w:r w:rsidRPr="00446A8A">
              <w:rPr>
                <w:rFonts w:ascii="Arial Narrow" w:eastAsia="Times New Roman" w:hAnsi="Arial Narrow"/>
              </w:rPr>
              <w:t>GR accessed before the 12th Oct 2014 are not in scope even if they are utilised after that date.</w:t>
            </w:r>
          </w:p>
        </w:tc>
        <w:tc>
          <w:tcPr>
            <w:tcW w:w="836" w:type="dxa"/>
            <w:tcBorders>
              <w:top w:val="single" w:sz="4" w:space="0" w:color="000000"/>
              <w:left w:val="single" w:sz="4" w:space="0" w:color="000000"/>
              <w:bottom w:val="single" w:sz="4" w:space="0" w:color="000000"/>
              <w:right w:val="single" w:sz="4" w:space="0" w:color="000000"/>
            </w:tcBorders>
          </w:tcPr>
          <w:p w14:paraId="57719DAE" w14:textId="77777777" w:rsidR="00446A8A" w:rsidRPr="00446A8A" w:rsidRDefault="00446A8A" w:rsidP="00446A8A">
            <w:pPr>
              <w:keepLines/>
              <w:rPr>
                <w:rFonts w:ascii="Arial Narrow" w:eastAsia="Times New Roman" w:hAnsi="Arial Narrow"/>
                <w:u w:val="single"/>
              </w:rPr>
            </w:pPr>
          </w:p>
        </w:tc>
        <w:tc>
          <w:tcPr>
            <w:tcW w:w="851" w:type="dxa"/>
            <w:tcBorders>
              <w:top w:val="single" w:sz="4" w:space="0" w:color="000000"/>
              <w:left w:val="single" w:sz="4" w:space="0" w:color="000000"/>
              <w:bottom w:val="single" w:sz="4" w:space="0" w:color="000000"/>
              <w:right w:val="single" w:sz="4" w:space="0" w:color="000000"/>
            </w:tcBorders>
          </w:tcPr>
          <w:p w14:paraId="3CBB0B0D" w14:textId="77777777" w:rsidR="00446A8A" w:rsidRPr="00446A8A" w:rsidRDefault="00446A8A" w:rsidP="00446A8A">
            <w:pPr>
              <w:keepLines/>
              <w:rPr>
                <w:rFonts w:ascii="Arial Narrow" w:eastAsia="Times New Roman" w:hAnsi="Arial Narrow"/>
                <w:u w:val="single"/>
              </w:rPr>
            </w:pPr>
          </w:p>
        </w:tc>
        <w:tc>
          <w:tcPr>
            <w:tcW w:w="1933" w:type="dxa"/>
            <w:tcBorders>
              <w:top w:val="single" w:sz="4" w:space="0" w:color="000000"/>
              <w:left w:val="single" w:sz="4" w:space="0" w:color="000000"/>
              <w:bottom w:val="single" w:sz="4" w:space="0" w:color="000000"/>
              <w:right w:val="single" w:sz="4" w:space="0" w:color="000000"/>
            </w:tcBorders>
          </w:tcPr>
          <w:p w14:paraId="6EA3B621" w14:textId="77777777" w:rsidR="00446A8A" w:rsidRPr="00446A8A" w:rsidRDefault="00446A8A" w:rsidP="00446A8A">
            <w:pPr>
              <w:keepLines/>
              <w:rPr>
                <w:rFonts w:ascii="Arial Narrow" w:eastAsia="Times New Roman" w:hAnsi="Arial Narrow"/>
                <w:u w:val="single"/>
              </w:rPr>
            </w:pPr>
          </w:p>
        </w:tc>
      </w:tr>
      <w:tr w:rsidR="00446A8A" w:rsidRPr="00446A8A" w14:paraId="34168FCF" w14:textId="77777777" w:rsidTr="00446A8A">
        <w:tc>
          <w:tcPr>
            <w:tcW w:w="1958" w:type="dxa"/>
            <w:tcBorders>
              <w:top w:val="single" w:sz="4" w:space="0" w:color="000000"/>
              <w:left w:val="single" w:sz="4" w:space="0" w:color="000000"/>
              <w:bottom w:val="single" w:sz="4" w:space="0" w:color="000000"/>
              <w:right w:val="single" w:sz="4" w:space="0" w:color="000000"/>
            </w:tcBorders>
            <w:hideMark/>
          </w:tcPr>
          <w:p w14:paraId="1F7E6435" w14:textId="77777777" w:rsidR="00446A8A" w:rsidRPr="00446A8A" w:rsidRDefault="00446A8A" w:rsidP="00446A8A">
            <w:pPr>
              <w:keepLines/>
              <w:rPr>
                <w:rFonts w:ascii="Arial Narrow" w:eastAsia="Times New Roman" w:hAnsi="Arial Narrow"/>
              </w:rPr>
            </w:pPr>
            <w:r w:rsidRPr="00446A8A">
              <w:rPr>
                <w:rFonts w:ascii="Arial Narrow" w:eastAsia="Times New Roman" w:hAnsi="Arial Narrow"/>
              </w:rPr>
              <w:lastRenderedPageBreak/>
              <w:t>8. Are the GR covered by an existing “specialised international ABS instrument”?</w:t>
            </w:r>
          </w:p>
        </w:tc>
        <w:tc>
          <w:tcPr>
            <w:tcW w:w="3438" w:type="dxa"/>
            <w:tcBorders>
              <w:top w:val="single" w:sz="4" w:space="0" w:color="000000"/>
              <w:left w:val="single" w:sz="4" w:space="0" w:color="000000"/>
              <w:bottom w:val="single" w:sz="4" w:space="0" w:color="000000"/>
              <w:right w:val="single" w:sz="4" w:space="0" w:color="000000"/>
            </w:tcBorders>
            <w:hideMark/>
          </w:tcPr>
          <w:p w14:paraId="4ED71B6C" w14:textId="77777777" w:rsidR="00446A8A" w:rsidRPr="00446A8A" w:rsidRDefault="00446A8A" w:rsidP="00446A8A">
            <w:pPr>
              <w:keepLines/>
              <w:rPr>
                <w:rFonts w:ascii="Arial Narrow" w:eastAsia="Times New Roman" w:hAnsi="Arial Narrow"/>
              </w:rPr>
            </w:pPr>
            <w:r w:rsidRPr="00446A8A">
              <w:rPr>
                <w:rFonts w:ascii="Arial Narrow" w:eastAsia="Times New Roman" w:hAnsi="Arial Narrow"/>
              </w:rPr>
              <w:t>GR that are covered by specialised agreements which have already established ABS conditions, such as the International Treaty on Plant Genetic Resources for Food and Agriculture or the WHO’s Pandemic Influenza Preparedness Framework are not in scope.</w:t>
            </w:r>
          </w:p>
          <w:p w14:paraId="2D43D3BB" w14:textId="77777777" w:rsidR="00446A8A" w:rsidRPr="00446A8A" w:rsidRDefault="00446A8A" w:rsidP="00446A8A">
            <w:pPr>
              <w:keepLines/>
              <w:rPr>
                <w:rFonts w:ascii="Arial Narrow" w:eastAsia="Times New Roman" w:hAnsi="Arial Narrow"/>
              </w:rPr>
            </w:pPr>
            <w:r w:rsidRPr="00446A8A">
              <w:rPr>
                <w:rFonts w:ascii="Arial Narrow" w:eastAsia="Times New Roman" w:hAnsi="Arial Narrow"/>
              </w:rPr>
              <w:t xml:space="preserve">GR which are not already covered by any other legal agreements designed to ensure access in specific situations are in scope if they meet all other criteria. </w:t>
            </w:r>
          </w:p>
        </w:tc>
        <w:tc>
          <w:tcPr>
            <w:tcW w:w="836" w:type="dxa"/>
            <w:tcBorders>
              <w:top w:val="single" w:sz="4" w:space="0" w:color="000000"/>
              <w:left w:val="single" w:sz="4" w:space="0" w:color="000000"/>
              <w:bottom w:val="single" w:sz="4" w:space="0" w:color="000000"/>
              <w:right w:val="single" w:sz="4" w:space="0" w:color="000000"/>
            </w:tcBorders>
          </w:tcPr>
          <w:p w14:paraId="1E1E6A14" w14:textId="77777777" w:rsidR="00446A8A" w:rsidRPr="00446A8A" w:rsidRDefault="00446A8A" w:rsidP="00446A8A">
            <w:pPr>
              <w:keepLines/>
              <w:rPr>
                <w:rFonts w:ascii="Arial Narrow" w:eastAsia="Times New Roman" w:hAnsi="Arial Narrow"/>
                <w:u w:val="single"/>
              </w:rPr>
            </w:pPr>
          </w:p>
        </w:tc>
        <w:tc>
          <w:tcPr>
            <w:tcW w:w="851" w:type="dxa"/>
            <w:tcBorders>
              <w:top w:val="single" w:sz="4" w:space="0" w:color="000000"/>
              <w:left w:val="single" w:sz="4" w:space="0" w:color="000000"/>
              <w:bottom w:val="single" w:sz="4" w:space="0" w:color="000000"/>
              <w:right w:val="single" w:sz="4" w:space="0" w:color="000000"/>
            </w:tcBorders>
          </w:tcPr>
          <w:p w14:paraId="0FD83D23" w14:textId="77777777" w:rsidR="00446A8A" w:rsidRPr="00446A8A" w:rsidRDefault="00446A8A" w:rsidP="00446A8A">
            <w:pPr>
              <w:keepLines/>
              <w:rPr>
                <w:rFonts w:ascii="Arial Narrow" w:eastAsia="Times New Roman" w:hAnsi="Arial Narrow"/>
                <w:u w:val="single"/>
              </w:rPr>
            </w:pPr>
          </w:p>
        </w:tc>
        <w:tc>
          <w:tcPr>
            <w:tcW w:w="1933" w:type="dxa"/>
            <w:tcBorders>
              <w:top w:val="single" w:sz="4" w:space="0" w:color="000000"/>
              <w:left w:val="single" w:sz="4" w:space="0" w:color="000000"/>
              <w:bottom w:val="single" w:sz="4" w:space="0" w:color="000000"/>
              <w:right w:val="single" w:sz="4" w:space="0" w:color="000000"/>
            </w:tcBorders>
          </w:tcPr>
          <w:p w14:paraId="75AE2035" w14:textId="77777777" w:rsidR="00446A8A" w:rsidRPr="00446A8A" w:rsidRDefault="00446A8A" w:rsidP="00446A8A">
            <w:pPr>
              <w:keepLines/>
              <w:rPr>
                <w:rFonts w:ascii="Arial Narrow" w:eastAsia="Times New Roman" w:hAnsi="Arial Narrow"/>
                <w:u w:val="single"/>
              </w:rPr>
            </w:pPr>
          </w:p>
        </w:tc>
      </w:tr>
      <w:tr w:rsidR="00446A8A" w:rsidRPr="00446A8A" w14:paraId="17A25700" w14:textId="77777777" w:rsidTr="00446A8A">
        <w:tc>
          <w:tcPr>
            <w:tcW w:w="1958" w:type="dxa"/>
            <w:tcBorders>
              <w:top w:val="single" w:sz="4" w:space="0" w:color="000000"/>
              <w:left w:val="single" w:sz="4" w:space="0" w:color="000000"/>
              <w:bottom w:val="single" w:sz="4" w:space="0" w:color="000000"/>
              <w:right w:val="single" w:sz="4" w:space="0" w:color="000000"/>
            </w:tcBorders>
            <w:hideMark/>
          </w:tcPr>
          <w:p w14:paraId="6097CA18" w14:textId="77777777" w:rsidR="00446A8A" w:rsidRPr="00446A8A" w:rsidRDefault="00446A8A" w:rsidP="00446A8A">
            <w:pPr>
              <w:keepLines/>
              <w:rPr>
                <w:rFonts w:ascii="Arial Narrow" w:eastAsia="Times New Roman" w:hAnsi="Arial Narrow"/>
              </w:rPr>
            </w:pPr>
            <w:r w:rsidRPr="00446A8A">
              <w:rPr>
                <w:rFonts w:ascii="Arial Narrow" w:eastAsia="Times New Roman" w:hAnsi="Arial Narrow"/>
              </w:rPr>
              <w:t>9. Are the GR human?</w:t>
            </w:r>
          </w:p>
        </w:tc>
        <w:tc>
          <w:tcPr>
            <w:tcW w:w="3438" w:type="dxa"/>
            <w:tcBorders>
              <w:top w:val="single" w:sz="4" w:space="0" w:color="000000"/>
              <w:left w:val="single" w:sz="4" w:space="0" w:color="000000"/>
              <w:bottom w:val="single" w:sz="4" w:space="0" w:color="000000"/>
              <w:right w:val="single" w:sz="4" w:space="0" w:color="000000"/>
            </w:tcBorders>
            <w:hideMark/>
          </w:tcPr>
          <w:p w14:paraId="3A30E904" w14:textId="77777777" w:rsidR="00446A8A" w:rsidRPr="00446A8A" w:rsidRDefault="00446A8A" w:rsidP="00446A8A">
            <w:pPr>
              <w:keepLines/>
              <w:rPr>
                <w:rFonts w:ascii="Arial Narrow" w:eastAsia="Times New Roman" w:hAnsi="Arial Narrow"/>
              </w:rPr>
            </w:pPr>
            <w:r w:rsidRPr="00446A8A">
              <w:rPr>
                <w:rFonts w:ascii="Arial Narrow" w:eastAsia="Times New Roman" w:hAnsi="Arial Narrow"/>
              </w:rPr>
              <w:t>Human GR are not in scope</w:t>
            </w:r>
          </w:p>
          <w:p w14:paraId="01680052" w14:textId="77777777" w:rsidR="00446A8A" w:rsidRPr="00446A8A" w:rsidRDefault="00446A8A" w:rsidP="00446A8A">
            <w:pPr>
              <w:keepLines/>
              <w:rPr>
                <w:rFonts w:ascii="Arial Narrow" w:eastAsia="Times New Roman" w:hAnsi="Arial Narrow"/>
              </w:rPr>
            </w:pPr>
            <w:r w:rsidRPr="00446A8A">
              <w:rPr>
                <w:rFonts w:ascii="Arial Narrow" w:eastAsia="Times New Roman" w:hAnsi="Arial Narrow"/>
              </w:rPr>
              <w:t>Non-human GR are in scope if they meet all other criteria</w:t>
            </w:r>
          </w:p>
        </w:tc>
        <w:tc>
          <w:tcPr>
            <w:tcW w:w="836" w:type="dxa"/>
            <w:tcBorders>
              <w:top w:val="single" w:sz="4" w:space="0" w:color="000000"/>
              <w:left w:val="single" w:sz="4" w:space="0" w:color="000000"/>
              <w:bottom w:val="single" w:sz="4" w:space="0" w:color="000000"/>
              <w:right w:val="single" w:sz="4" w:space="0" w:color="000000"/>
            </w:tcBorders>
          </w:tcPr>
          <w:p w14:paraId="0DE0F04E" w14:textId="77777777" w:rsidR="00446A8A" w:rsidRPr="00446A8A" w:rsidRDefault="00446A8A" w:rsidP="00446A8A">
            <w:pPr>
              <w:keepLines/>
              <w:rPr>
                <w:rFonts w:ascii="Arial Narrow" w:eastAsia="Times New Roman" w:hAnsi="Arial Narrow"/>
                <w:u w:val="single"/>
              </w:rPr>
            </w:pPr>
          </w:p>
        </w:tc>
        <w:tc>
          <w:tcPr>
            <w:tcW w:w="851" w:type="dxa"/>
            <w:tcBorders>
              <w:top w:val="single" w:sz="4" w:space="0" w:color="000000"/>
              <w:left w:val="single" w:sz="4" w:space="0" w:color="000000"/>
              <w:bottom w:val="single" w:sz="4" w:space="0" w:color="000000"/>
              <w:right w:val="single" w:sz="4" w:space="0" w:color="000000"/>
            </w:tcBorders>
          </w:tcPr>
          <w:p w14:paraId="096FA1C1" w14:textId="77777777" w:rsidR="00446A8A" w:rsidRPr="00446A8A" w:rsidRDefault="00446A8A" w:rsidP="00446A8A">
            <w:pPr>
              <w:keepLines/>
              <w:rPr>
                <w:rFonts w:ascii="Arial Narrow" w:eastAsia="Times New Roman" w:hAnsi="Arial Narrow"/>
                <w:u w:val="single"/>
              </w:rPr>
            </w:pPr>
          </w:p>
        </w:tc>
        <w:tc>
          <w:tcPr>
            <w:tcW w:w="1933" w:type="dxa"/>
            <w:tcBorders>
              <w:top w:val="single" w:sz="4" w:space="0" w:color="000000"/>
              <w:left w:val="single" w:sz="4" w:space="0" w:color="000000"/>
              <w:bottom w:val="single" w:sz="4" w:space="0" w:color="000000"/>
              <w:right w:val="single" w:sz="4" w:space="0" w:color="000000"/>
            </w:tcBorders>
          </w:tcPr>
          <w:p w14:paraId="1A9D17AF" w14:textId="77777777" w:rsidR="00446A8A" w:rsidRPr="00446A8A" w:rsidRDefault="00446A8A" w:rsidP="00446A8A">
            <w:pPr>
              <w:keepLines/>
              <w:rPr>
                <w:rFonts w:ascii="Arial Narrow" w:eastAsia="Times New Roman" w:hAnsi="Arial Narrow"/>
                <w:u w:val="single"/>
              </w:rPr>
            </w:pPr>
          </w:p>
        </w:tc>
      </w:tr>
      <w:tr w:rsidR="00446A8A" w:rsidRPr="00446A8A" w14:paraId="3C03C751" w14:textId="77777777" w:rsidTr="00446A8A">
        <w:tc>
          <w:tcPr>
            <w:tcW w:w="1958" w:type="dxa"/>
            <w:tcBorders>
              <w:top w:val="single" w:sz="4" w:space="0" w:color="000000"/>
              <w:left w:val="single" w:sz="4" w:space="0" w:color="000000"/>
              <w:bottom w:val="single" w:sz="4" w:space="0" w:color="000000"/>
              <w:right w:val="single" w:sz="4" w:space="0" w:color="000000"/>
            </w:tcBorders>
            <w:hideMark/>
          </w:tcPr>
          <w:p w14:paraId="49F06298" w14:textId="77777777" w:rsidR="00446A8A" w:rsidRPr="00446A8A" w:rsidRDefault="00446A8A" w:rsidP="00446A8A">
            <w:pPr>
              <w:keepLines/>
              <w:rPr>
                <w:rFonts w:ascii="Arial Narrow" w:eastAsia="Times New Roman" w:hAnsi="Arial Narrow"/>
              </w:rPr>
            </w:pPr>
            <w:r w:rsidRPr="00446A8A">
              <w:rPr>
                <w:rFonts w:ascii="Arial Narrow" w:eastAsia="Times New Roman" w:hAnsi="Arial Narrow"/>
              </w:rPr>
              <w:t>10. Are the GR commodities?</w:t>
            </w:r>
          </w:p>
        </w:tc>
        <w:tc>
          <w:tcPr>
            <w:tcW w:w="3438" w:type="dxa"/>
            <w:tcBorders>
              <w:top w:val="single" w:sz="4" w:space="0" w:color="000000"/>
              <w:left w:val="single" w:sz="4" w:space="0" w:color="000000"/>
              <w:bottom w:val="single" w:sz="4" w:space="0" w:color="000000"/>
              <w:right w:val="single" w:sz="4" w:space="0" w:color="000000"/>
            </w:tcBorders>
            <w:hideMark/>
          </w:tcPr>
          <w:p w14:paraId="26033D45" w14:textId="77777777" w:rsidR="00446A8A" w:rsidRPr="00446A8A" w:rsidRDefault="00446A8A" w:rsidP="00446A8A">
            <w:pPr>
              <w:keepLines/>
              <w:rPr>
                <w:rFonts w:ascii="Arial Narrow" w:eastAsia="Times New Roman" w:hAnsi="Arial Narrow"/>
              </w:rPr>
            </w:pPr>
            <w:r w:rsidRPr="00446A8A">
              <w:rPr>
                <w:rFonts w:ascii="Arial Narrow" w:eastAsia="Times New Roman" w:hAnsi="Arial Narrow"/>
              </w:rPr>
              <w:t xml:space="preserve">Commodities traded for direct consumption or for use as ingredients in food and drink products (i.e. to be used only as a commodity) are not in scope. </w:t>
            </w:r>
          </w:p>
          <w:p w14:paraId="65524C57" w14:textId="77777777" w:rsidR="00446A8A" w:rsidRPr="00446A8A" w:rsidRDefault="00446A8A" w:rsidP="00446A8A">
            <w:pPr>
              <w:keepLines/>
              <w:rPr>
                <w:rFonts w:ascii="Arial Narrow" w:eastAsia="Times New Roman" w:hAnsi="Arial Narrow"/>
              </w:rPr>
            </w:pPr>
            <w:r w:rsidRPr="00446A8A">
              <w:rPr>
                <w:rFonts w:ascii="Arial Narrow" w:eastAsia="Times New Roman" w:hAnsi="Arial Narrow"/>
              </w:rPr>
              <w:t xml:space="preserve">GR which originally entered the EU as </w:t>
            </w:r>
            <w:proofErr w:type="gramStart"/>
            <w:r w:rsidRPr="00446A8A">
              <w:rPr>
                <w:rFonts w:ascii="Arial Narrow" w:eastAsia="Times New Roman" w:hAnsi="Arial Narrow"/>
              </w:rPr>
              <w:t>commodities</w:t>
            </w:r>
            <w:proofErr w:type="gramEnd"/>
            <w:r w:rsidRPr="00446A8A">
              <w:rPr>
                <w:rFonts w:ascii="Arial Narrow" w:eastAsia="Times New Roman" w:hAnsi="Arial Narrow"/>
              </w:rPr>
              <w:t xml:space="preserve"> but the intended use changes and R&amp;D is undertaken on the GR are in scope if they meet all other criteria. This would apply to nutraceuticals (e.g. dried leaf powder), food (e.g. oranges) and food waste (e.g. coffee grounds) if used for R&amp;D.</w:t>
            </w:r>
          </w:p>
        </w:tc>
        <w:tc>
          <w:tcPr>
            <w:tcW w:w="836" w:type="dxa"/>
            <w:tcBorders>
              <w:top w:val="single" w:sz="4" w:space="0" w:color="000000"/>
              <w:left w:val="single" w:sz="4" w:space="0" w:color="000000"/>
              <w:bottom w:val="single" w:sz="4" w:space="0" w:color="000000"/>
              <w:right w:val="single" w:sz="4" w:space="0" w:color="000000"/>
            </w:tcBorders>
          </w:tcPr>
          <w:p w14:paraId="2147A25D" w14:textId="77777777" w:rsidR="00446A8A" w:rsidRPr="00446A8A" w:rsidRDefault="00446A8A" w:rsidP="00446A8A">
            <w:pPr>
              <w:keepLines/>
              <w:rPr>
                <w:rFonts w:ascii="Arial Narrow" w:eastAsia="Times New Roman" w:hAnsi="Arial Narrow"/>
                <w:u w:val="single"/>
              </w:rPr>
            </w:pPr>
          </w:p>
        </w:tc>
        <w:tc>
          <w:tcPr>
            <w:tcW w:w="851" w:type="dxa"/>
            <w:tcBorders>
              <w:top w:val="single" w:sz="4" w:space="0" w:color="000000"/>
              <w:left w:val="single" w:sz="4" w:space="0" w:color="000000"/>
              <w:bottom w:val="single" w:sz="4" w:space="0" w:color="000000"/>
              <w:right w:val="single" w:sz="4" w:space="0" w:color="000000"/>
            </w:tcBorders>
          </w:tcPr>
          <w:p w14:paraId="542C8DD2" w14:textId="77777777" w:rsidR="00446A8A" w:rsidRPr="00446A8A" w:rsidRDefault="00446A8A" w:rsidP="00446A8A">
            <w:pPr>
              <w:keepLines/>
              <w:rPr>
                <w:rFonts w:ascii="Arial Narrow" w:eastAsia="Times New Roman" w:hAnsi="Arial Narrow"/>
                <w:u w:val="single"/>
              </w:rPr>
            </w:pPr>
          </w:p>
        </w:tc>
        <w:tc>
          <w:tcPr>
            <w:tcW w:w="1933" w:type="dxa"/>
            <w:tcBorders>
              <w:top w:val="single" w:sz="4" w:space="0" w:color="000000"/>
              <w:left w:val="single" w:sz="4" w:space="0" w:color="000000"/>
              <w:bottom w:val="single" w:sz="4" w:space="0" w:color="000000"/>
              <w:right w:val="single" w:sz="4" w:space="0" w:color="000000"/>
            </w:tcBorders>
          </w:tcPr>
          <w:p w14:paraId="4C49886E" w14:textId="77777777" w:rsidR="00446A8A" w:rsidRPr="00446A8A" w:rsidRDefault="00446A8A" w:rsidP="00446A8A">
            <w:pPr>
              <w:keepLines/>
              <w:rPr>
                <w:rFonts w:ascii="Arial Narrow" w:eastAsia="Times New Roman" w:hAnsi="Arial Narrow"/>
                <w:u w:val="single"/>
              </w:rPr>
            </w:pPr>
          </w:p>
        </w:tc>
      </w:tr>
      <w:tr w:rsidR="00446A8A" w:rsidRPr="00446A8A" w14:paraId="113B30F4" w14:textId="77777777" w:rsidTr="00446A8A">
        <w:tc>
          <w:tcPr>
            <w:tcW w:w="1958" w:type="dxa"/>
            <w:tcBorders>
              <w:top w:val="single" w:sz="4" w:space="0" w:color="000000"/>
              <w:left w:val="single" w:sz="4" w:space="0" w:color="000000"/>
              <w:bottom w:val="single" w:sz="4" w:space="0" w:color="000000"/>
              <w:right w:val="single" w:sz="4" w:space="0" w:color="000000"/>
            </w:tcBorders>
            <w:hideMark/>
          </w:tcPr>
          <w:p w14:paraId="780242B8" w14:textId="77777777" w:rsidR="00446A8A" w:rsidRPr="00446A8A" w:rsidRDefault="00446A8A" w:rsidP="00446A8A">
            <w:pPr>
              <w:keepLines/>
              <w:rPr>
                <w:rFonts w:ascii="Arial Narrow" w:eastAsia="Times New Roman" w:hAnsi="Arial Narrow"/>
              </w:rPr>
            </w:pPr>
            <w:r w:rsidRPr="00446A8A">
              <w:rPr>
                <w:rFonts w:ascii="Arial Narrow" w:eastAsia="Times New Roman" w:hAnsi="Arial Narrow"/>
              </w:rPr>
              <w:t xml:space="preserve">11. Are the GR being </w:t>
            </w:r>
            <w:r w:rsidRPr="00446A8A">
              <w:rPr>
                <w:rFonts w:ascii="Arial Narrow" w:eastAsia="Times New Roman" w:hAnsi="Arial Narrow"/>
                <w:b/>
              </w:rPr>
              <w:t>utilised</w:t>
            </w:r>
            <w:r w:rsidRPr="00446A8A">
              <w:rPr>
                <w:rFonts w:ascii="Arial Narrow" w:eastAsia="Times New Roman" w:hAnsi="Arial Narrow"/>
              </w:rPr>
              <w:t xml:space="preserve"> for R&amp;D on the genetic and/or biochemical composition of GR?</w:t>
            </w:r>
          </w:p>
        </w:tc>
        <w:tc>
          <w:tcPr>
            <w:tcW w:w="3438" w:type="dxa"/>
            <w:tcBorders>
              <w:top w:val="single" w:sz="4" w:space="0" w:color="000000"/>
              <w:left w:val="single" w:sz="4" w:space="0" w:color="000000"/>
              <w:bottom w:val="single" w:sz="4" w:space="0" w:color="000000"/>
              <w:right w:val="single" w:sz="4" w:space="0" w:color="000000"/>
            </w:tcBorders>
            <w:hideMark/>
          </w:tcPr>
          <w:p w14:paraId="09C673F3" w14:textId="77777777" w:rsidR="00446A8A" w:rsidRPr="00446A8A" w:rsidRDefault="00446A8A" w:rsidP="00446A8A">
            <w:pPr>
              <w:keepLines/>
              <w:rPr>
                <w:rFonts w:ascii="Arial Narrow" w:eastAsia="Times New Roman" w:hAnsi="Arial Narrow"/>
              </w:rPr>
            </w:pPr>
            <w:r w:rsidRPr="00446A8A">
              <w:rPr>
                <w:rFonts w:ascii="Arial Narrow" w:eastAsia="Times New Roman" w:hAnsi="Arial Narrow"/>
              </w:rPr>
              <w:t>“Utilisation” means “to conduct R&amp;D on the genetic and/or biochemical composition of GR.”</w:t>
            </w:r>
          </w:p>
          <w:p w14:paraId="1D5AE25C" w14:textId="77777777" w:rsidR="00446A8A" w:rsidRPr="00446A8A" w:rsidRDefault="00446A8A" w:rsidP="00446A8A">
            <w:pPr>
              <w:keepLines/>
              <w:rPr>
                <w:rFonts w:ascii="Arial Narrow" w:eastAsia="Times New Roman" w:hAnsi="Arial Narrow"/>
              </w:rPr>
            </w:pPr>
            <w:r w:rsidRPr="00446A8A">
              <w:rPr>
                <w:rFonts w:ascii="Arial Narrow" w:eastAsia="Times New Roman" w:hAnsi="Arial Narrow"/>
              </w:rPr>
              <w:t>GR which have been accessed for any use other than R&amp;D are not in scope.</w:t>
            </w:r>
          </w:p>
          <w:p w14:paraId="42AA95EC" w14:textId="77777777" w:rsidR="00446A8A" w:rsidRPr="00446A8A" w:rsidRDefault="00446A8A" w:rsidP="00446A8A">
            <w:pPr>
              <w:keepLines/>
              <w:rPr>
                <w:rFonts w:ascii="Arial Narrow" w:eastAsia="Times New Roman" w:hAnsi="Arial Narrow"/>
              </w:rPr>
            </w:pPr>
            <w:r w:rsidRPr="00446A8A">
              <w:rPr>
                <w:rFonts w:ascii="Arial Narrow" w:eastAsia="Times New Roman" w:hAnsi="Arial Narrow"/>
              </w:rPr>
              <w:t>Four examples of situations which are not in scope are:</w:t>
            </w:r>
          </w:p>
          <w:p w14:paraId="254668E9" w14:textId="77777777" w:rsidR="00446A8A" w:rsidRPr="00446A8A" w:rsidRDefault="00446A8A" w:rsidP="00446A8A">
            <w:pPr>
              <w:keepLines/>
              <w:ind w:left="714" w:hanging="357"/>
              <w:rPr>
                <w:rFonts w:ascii="Arial Narrow" w:eastAsia="Times New Roman" w:hAnsi="Arial Narrow"/>
              </w:rPr>
            </w:pPr>
            <w:r w:rsidRPr="00446A8A">
              <w:rPr>
                <w:rFonts w:ascii="Arial Narrow" w:eastAsia="Times New Roman" w:hAnsi="Arial Narrow"/>
              </w:rPr>
              <w:lastRenderedPageBreak/>
              <w:t xml:space="preserve">supply/processing of raw materials where the properties are already </w:t>
            </w:r>
            <w:proofErr w:type="gramStart"/>
            <w:r w:rsidRPr="00446A8A">
              <w:rPr>
                <w:rFonts w:ascii="Arial Narrow" w:eastAsia="Times New Roman" w:hAnsi="Arial Narrow"/>
              </w:rPr>
              <w:t>known</w:t>
            </w:r>
            <w:proofErr w:type="gramEnd"/>
            <w:r w:rsidRPr="00446A8A">
              <w:rPr>
                <w:rFonts w:ascii="Arial Narrow" w:eastAsia="Times New Roman" w:hAnsi="Arial Narrow"/>
              </w:rPr>
              <w:t xml:space="preserve"> and no new R&amp;D is carried out - e.g. supply of aloe vera for incorporation into cosmetics;</w:t>
            </w:r>
          </w:p>
          <w:p w14:paraId="193374E2" w14:textId="77777777" w:rsidR="00446A8A" w:rsidRPr="00446A8A" w:rsidRDefault="00446A8A" w:rsidP="00446A8A">
            <w:pPr>
              <w:keepLines/>
              <w:ind w:left="714" w:hanging="357"/>
              <w:rPr>
                <w:rFonts w:ascii="Arial Narrow" w:eastAsia="Times New Roman" w:hAnsi="Arial Narrow"/>
              </w:rPr>
            </w:pPr>
            <w:r w:rsidRPr="00446A8A">
              <w:rPr>
                <w:rFonts w:ascii="Arial Narrow" w:eastAsia="Times New Roman" w:hAnsi="Arial Narrow"/>
              </w:rPr>
              <w:t>GR as testing/reference tools - where the GR itself is not the object of R&amp;D but is used to confirm/verify the desired features of products which are undergoing R&amp;D;</w:t>
            </w:r>
          </w:p>
          <w:p w14:paraId="6617CB74" w14:textId="77777777" w:rsidR="00446A8A" w:rsidRPr="00446A8A" w:rsidRDefault="00446A8A" w:rsidP="00446A8A">
            <w:pPr>
              <w:keepLines/>
              <w:ind w:left="714" w:hanging="357"/>
              <w:rPr>
                <w:rFonts w:ascii="Arial Narrow" w:eastAsia="Times New Roman" w:hAnsi="Arial Narrow"/>
              </w:rPr>
            </w:pPr>
            <w:r w:rsidRPr="00446A8A">
              <w:rPr>
                <w:rFonts w:ascii="Arial Narrow" w:eastAsia="Times New Roman" w:hAnsi="Arial Narrow"/>
              </w:rPr>
              <w:t>Handling/storing biological material and describing its phenotype (e.g. in a botanical collection) without undertaking R&amp;D;</w:t>
            </w:r>
          </w:p>
          <w:p w14:paraId="39E51AAD" w14:textId="77777777" w:rsidR="00446A8A" w:rsidRPr="00446A8A" w:rsidRDefault="00446A8A" w:rsidP="00446A8A">
            <w:pPr>
              <w:keepLines/>
              <w:ind w:left="714" w:hanging="357"/>
              <w:rPr>
                <w:rFonts w:ascii="Arial Narrow" w:eastAsia="Times New Roman" w:hAnsi="Arial Narrow"/>
              </w:rPr>
            </w:pPr>
            <w:r w:rsidRPr="00446A8A">
              <w:rPr>
                <w:rFonts w:ascii="Arial Narrow" w:eastAsia="Times New Roman" w:hAnsi="Arial Narrow"/>
              </w:rPr>
              <w:t>using a GR whose action is already known ‘as is’ without undertaking R&amp;D on the GR itself - such as the use of yeast in brewing.</w:t>
            </w:r>
          </w:p>
          <w:p w14:paraId="253D2A27" w14:textId="77777777" w:rsidR="00446A8A" w:rsidRPr="00446A8A" w:rsidRDefault="00446A8A" w:rsidP="00446A8A">
            <w:pPr>
              <w:keepLines/>
              <w:rPr>
                <w:rFonts w:ascii="Arial Narrow" w:eastAsia="Times New Roman" w:hAnsi="Arial Narrow"/>
              </w:rPr>
            </w:pPr>
            <w:r w:rsidRPr="00446A8A">
              <w:rPr>
                <w:rFonts w:ascii="Arial Narrow" w:eastAsia="Times New Roman" w:hAnsi="Arial Narrow"/>
              </w:rPr>
              <w:t xml:space="preserve">Any scientific activity which goes beyond the mere description of a GR is likely to constitute research and fit within the definition of utilisation. Utilisation of a GR or its derivatives for the purposes of R&amp;D even if no commercial output can be envisaged at the time is therefore in scope if all other criteria are met. </w:t>
            </w:r>
          </w:p>
        </w:tc>
        <w:tc>
          <w:tcPr>
            <w:tcW w:w="836" w:type="dxa"/>
            <w:tcBorders>
              <w:top w:val="single" w:sz="4" w:space="0" w:color="000000"/>
              <w:left w:val="single" w:sz="4" w:space="0" w:color="000000"/>
              <w:bottom w:val="single" w:sz="4" w:space="0" w:color="000000"/>
              <w:right w:val="single" w:sz="4" w:space="0" w:color="000000"/>
            </w:tcBorders>
          </w:tcPr>
          <w:p w14:paraId="3686E2B3" w14:textId="77777777" w:rsidR="00446A8A" w:rsidRPr="00446A8A" w:rsidRDefault="00446A8A" w:rsidP="00446A8A">
            <w:pPr>
              <w:keepLines/>
              <w:rPr>
                <w:rFonts w:ascii="Arial Narrow" w:eastAsia="Times New Roman" w:hAnsi="Arial Narrow"/>
                <w:u w:val="single"/>
              </w:rPr>
            </w:pPr>
          </w:p>
        </w:tc>
        <w:tc>
          <w:tcPr>
            <w:tcW w:w="851" w:type="dxa"/>
            <w:tcBorders>
              <w:top w:val="single" w:sz="4" w:space="0" w:color="000000"/>
              <w:left w:val="single" w:sz="4" w:space="0" w:color="000000"/>
              <w:bottom w:val="single" w:sz="4" w:space="0" w:color="000000"/>
              <w:right w:val="single" w:sz="4" w:space="0" w:color="000000"/>
            </w:tcBorders>
          </w:tcPr>
          <w:p w14:paraId="6FB3C045" w14:textId="77777777" w:rsidR="00446A8A" w:rsidRPr="00446A8A" w:rsidRDefault="00446A8A" w:rsidP="00446A8A">
            <w:pPr>
              <w:keepLines/>
              <w:rPr>
                <w:rFonts w:ascii="Arial Narrow" w:eastAsia="Times New Roman" w:hAnsi="Arial Narrow"/>
                <w:u w:val="single"/>
              </w:rPr>
            </w:pPr>
          </w:p>
        </w:tc>
        <w:tc>
          <w:tcPr>
            <w:tcW w:w="1933" w:type="dxa"/>
            <w:tcBorders>
              <w:top w:val="single" w:sz="4" w:space="0" w:color="000000"/>
              <w:left w:val="single" w:sz="4" w:space="0" w:color="000000"/>
              <w:bottom w:val="single" w:sz="4" w:space="0" w:color="000000"/>
              <w:right w:val="single" w:sz="4" w:space="0" w:color="000000"/>
            </w:tcBorders>
          </w:tcPr>
          <w:p w14:paraId="5DE40FB3" w14:textId="77777777" w:rsidR="00446A8A" w:rsidRPr="00446A8A" w:rsidRDefault="00446A8A" w:rsidP="00446A8A">
            <w:pPr>
              <w:keepLines/>
              <w:rPr>
                <w:rFonts w:ascii="Arial Narrow" w:eastAsia="Times New Roman" w:hAnsi="Arial Narrow"/>
                <w:u w:val="single"/>
              </w:rPr>
            </w:pPr>
          </w:p>
        </w:tc>
      </w:tr>
    </w:tbl>
    <w:p w14:paraId="59C376CD" w14:textId="77777777" w:rsidR="00C625B0" w:rsidRDefault="00C625B0" w:rsidP="00B740AF"/>
    <w:sectPr w:rsidR="00C625B0" w:rsidSect="006A5B50">
      <w:footerReference w:type="default" r:id="rId10"/>
      <w:footerReference w:type="first" r:id="rId11"/>
      <w:pgSz w:w="11906" w:h="16838"/>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BF27E" w14:textId="77777777" w:rsidR="00CC04D9" w:rsidRDefault="00CC04D9" w:rsidP="006A5B50">
      <w:pPr>
        <w:spacing w:after="0" w:line="240" w:lineRule="auto"/>
      </w:pPr>
      <w:r>
        <w:separator/>
      </w:r>
    </w:p>
  </w:endnote>
  <w:endnote w:type="continuationSeparator" w:id="0">
    <w:p w14:paraId="1D3B9B8E" w14:textId="77777777" w:rsidR="00CC04D9" w:rsidRDefault="00CC04D9" w:rsidP="006A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15958"/>
      <w:docPartObj>
        <w:docPartGallery w:val="Page Numbers (Bottom of Page)"/>
        <w:docPartUnique/>
      </w:docPartObj>
    </w:sdtPr>
    <w:sdtEndPr>
      <w:rPr>
        <w:noProof/>
      </w:rPr>
    </w:sdtEndPr>
    <w:sdtContent>
      <w:p w14:paraId="2090E3B0" w14:textId="77777777" w:rsidR="00CC04D9" w:rsidRDefault="00CC04D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717B95F3" w14:textId="77777777" w:rsidR="00CC04D9" w:rsidRDefault="00CC0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62F43" w14:textId="77777777" w:rsidR="00CC04D9" w:rsidRDefault="00CC04D9" w:rsidP="007F06C7">
    <w:pPr>
      <w:pStyle w:val="Footer"/>
      <w:tabs>
        <w:tab w:val="clear" w:pos="4513"/>
        <w:tab w:val="clear" w:pos="9026"/>
        <w:tab w:val="left" w:pos="1155"/>
      </w:tabs>
      <w:jc w:val="right"/>
    </w:pPr>
    <w:r>
      <w:tab/>
    </w:r>
    <w:r>
      <w:rPr>
        <w:noProof/>
        <w:lang w:eastAsia="en-GB"/>
      </w:rPr>
      <w:drawing>
        <wp:inline distT="0" distB="0" distL="0" distR="0" wp14:anchorId="31F130BB" wp14:editId="3E6BCDBE">
          <wp:extent cx="1832968" cy="2382493"/>
          <wp:effectExtent l="0" t="0" r="0" b="0"/>
          <wp:docPr id="3" name="Picture 3" descr="Edge Hill Universit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 Logo M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5654" cy="24119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B47E2" w14:textId="77777777" w:rsidR="00CC04D9" w:rsidRDefault="00CC04D9" w:rsidP="006A5B50">
      <w:pPr>
        <w:spacing w:after="0" w:line="240" w:lineRule="auto"/>
      </w:pPr>
      <w:r>
        <w:separator/>
      </w:r>
    </w:p>
  </w:footnote>
  <w:footnote w:type="continuationSeparator" w:id="0">
    <w:p w14:paraId="11D51489" w14:textId="77777777" w:rsidR="00CC04D9" w:rsidRDefault="00CC04D9" w:rsidP="006A5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5E24"/>
    <w:multiLevelType w:val="hybridMultilevel"/>
    <w:tmpl w:val="0D444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936FE"/>
    <w:multiLevelType w:val="hybridMultilevel"/>
    <w:tmpl w:val="DEA02068"/>
    <w:lvl w:ilvl="0" w:tplc="543262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907A4"/>
    <w:multiLevelType w:val="hybridMultilevel"/>
    <w:tmpl w:val="9FD6767A"/>
    <w:lvl w:ilvl="0" w:tplc="543262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E4901"/>
    <w:multiLevelType w:val="hybridMultilevel"/>
    <w:tmpl w:val="E0DACFDE"/>
    <w:lvl w:ilvl="0" w:tplc="543262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F1270"/>
    <w:multiLevelType w:val="hybridMultilevel"/>
    <w:tmpl w:val="2C24C4B2"/>
    <w:lvl w:ilvl="0" w:tplc="543262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041AF"/>
    <w:multiLevelType w:val="hybridMultilevel"/>
    <w:tmpl w:val="3F9230BC"/>
    <w:lvl w:ilvl="0" w:tplc="543262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95751"/>
    <w:multiLevelType w:val="hybridMultilevel"/>
    <w:tmpl w:val="F760C828"/>
    <w:lvl w:ilvl="0" w:tplc="543262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27FAB"/>
    <w:multiLevelType w:val="hybridMultilevel"/>
    <w:tmpl w:val="449A5538"/>
    <w:lvl w:ilvl="0" w:tplc="54326220">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76B47"/>
    <w:multiLevelType w:val="hybridMultilevel"/>
    <w:tmpl w:val="BD866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81223A"/>
    <w:multiLevelType w:val="multilevel"/>
    <w:tmpl w:val="5D8094C8"/>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3C030E58"/>
    <w:multiLevelType w:val="hybridMultilevel"/>
    <w:tmpl w:val="0236186E"/>
    <w:lvl w:ilvl="0" w:tplc="543262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F3FB9"/>
    <w:multiLevelType w:val="hybridMultilevel"/>
    <w:tmpl w:val="A25C4594"/>
    <w:lvl w:ilvl="0" w:tplc="543262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E4880"/>
    <w:multiLevelType w:val="hybridMultilevel"/>
    <w:tmpl w:val="1880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A87BDA"/>
    <w:multiLevelType w:val="hybridMultilevel"/>
    <w:tmpl w:val="E1F63BC6"/>
    <w:lvl w:ilvl="0" w:tplc="54326220">
      <w:numFmt w:val="bullet"/>
      <w:lvlText w:val="•"/>
      <w:lvlJc w:val="left"/>
      <w:pPr>
        <w:ind w:left="1080" w:hanging="720"/>
      </w:pPr>
      <w:rPr>
        <w:rFonts w:ascii="Arial" w:eastAsiaTheme="minorHAnsi" w:hAnsi="Arial" w:cs="Arial" w:hint="default"/>
      </w:rPr>
    </w:lvl>
    <w:lvl w:ilvl="1" w:tplc="A41C61D4">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E123E5"/>
    <w:multiLevelType w:val="hybridMultilevel"/>
    <w:tmpl w:val="8B189F96"/>
    <w:lvl w:ilvl="0" w:tplc="543262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FC0396"/>
    <w:multiLevelType w:val="multilevel"/>
    <w:tmpl w:val="7164A2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4142312"/>
    <w:multiLevelType w:val="hybridMultilevel"/>
    <w:tmpl w:val="1A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16"/>
  </w:num>
  <w:num w:numId="4">
    <w:abstractNumId w:val="12"/>
  </w:num>
  <w:num w:numId="5">
    <w:abstractNumId w:val="13"/>
  </w:num>
  <w:num w:numId="6">
    <w:abstractNumId w:val="14"/>
  </w:num>
  <w:num w:numId="7">
    <w:abstractNumId w:val="7"/>
  </w:num>
  <w:num w:numId="8">
    <w:abstractNumId w:val="8"/>
  </w:num>
  <w:num w:numId="9">
    <w:abstractNumId w:val="11"/>
  </w:num>
  <w:num w:numId="10">
    <w:abstractNumId w:val="4"/>
  </w:num>
  <w:num w:numId="11">
    <w:abstractNumId w:val="2"/>
  </w:num>
  <w:num w:numId="12">
    <w:abstractNumId w:val="3"/>
  </w:num>
  <w:num w:numId="13">
    <w:abstractNumId w:val="10"/>
  </w:num>
  <w:num w:numId="14">
    <w:abstractNumId w:val="1"/>
  </w:num>
  <w:num w:numId="15">
    <w:abstractNumId w:val="5"/>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5B0"/>
    <w:rsid w:val="000879BD"/>
    <w:rsid w:val="000D23AF"/>
    <w:rsid w:val="000D3D30"/>
    <w:rsid w:val="000F3143"/>
    <w:rsid w:val="001005E0"/>
    <w:rsid w:val="0011421B"/>
    <w:rsid w:val="001674E3"/>
    <w:rsid w:val="001722B8"/>
    <w:rsid w:val="001C7E65"/>
    <w:rsid w:val="0024466A"/>
    <w:rsid w:val="0029043F"/>
    <w:rsid w:val="002C28E2"/>
    <w:rsid w:val="00313808"/>
    <w:rsid w:val="00351BCA"/>
    <w:rsid w:val="003D05B2"/>
    <w:rsid w:val="004008E9"/>
    <w:rsid w:val="00433B62"/>
    <w:rsid w:val="00446A8A"/>
    <w:rsid w:val="004F68EC"/>
    <w:rsid w:val="00503942"/>
    <w:rsid w:val="0054561B"/>
    <w:rsid w:val="00576627"/>
    <w:rsid w:val="00576FDD"/>
    <w:rsid w:val="00581D0A"/>
    <w:rsid w:val="005C1D02"/>
    <w:rsid w:val="006273D8"/>
    <w:rsid w:val="00683E10"/>
    <w:rsid w:val="006A5B50"/>
    <w:rsid w:val="006B075E"/>
    <w:rsid w:val="006D08ED"/>
    <w:rsid w:val="006F3C7E"/>
    <w:rsid w:val="00722685"/>
    <w:rsid w:val="00745DC4"/>
    <w:rsid w:val="00762C18"/>
    <w:rsid w:val="007D70AB"/>
    <w:rsid w:val="007F06C7"/>
    <w:rsid w:val="007F513E"/>
    <w:rsid w:val="0080281A"/>
    <w:rsid w:val="00805BA4"/>
    <w:rsid w:val="00816CAE"/>
    <w:rsid w:val="00844B56"/>
    <w:rsid w:val="008467B5"/>
    <w:rsid w:val="008F1BE9"/>
    <w:rsid w:val="00971F84"/>
    <w:rsid w:val="00A000BC"/>
    <w:rsid w:val="00A73C4D"/>
    <w:rsid w:val="00AD3AC4"/>
    <w:rsid w:val="00AD3E0A"/>
    <w:rsid w:val="00B44135"/>
    <w:rsid w:val="00B72EE1"/>
    <w:rsid w:val="00B740AF"/>
    <w:rsid w:val="00B86B25"/>
    <w:rsid w:val="00C06794"/>
    <w:rsid w:val="00C2739B"/>
    <w:rsid w:val="00C625B0"/>
    <w:rsid w:val="00C71972"/>
    <w:rsid w:val="00C80C20"/>
    <w:rsid w:val="00C91FDD"/>
    <w:rsid w:val="00CC04D9"/>
    <w:rsid w:val="00CC6683"/>
    <w:rsid w:val="00CC696B"/>
    <w:rsid w:val="00CD23F0"/>
    <w:rsid w:val="00CE42D1"/>
    <w:rsid w:val="00CF75EE"/>
    <w:rsid w:val="00D41CE1"/>
    <w:rsid w:val="00D84925"/>
    <w:rsid w:val="00D84C7A"/>
    <w:rsid w:val="00D872A1"/>
    <w:rsid w:val="00D95974"/>
    <w:rsid w:val="00DC3DD0"/>
    <w:rsid w:val="00E006DE"/>
    <w:rsid w:val="00E21F75"/>
    <w:rsid w:val="00E5137F"/>
    <w:rsid w:val="00E53A1A"/>
    <w:rsid w:val="00EF57F1"/>
    <w:rsid w:val="00F00A5C"/>
    <w:rsid w:val="00F13EEC"/>
    <w:rsid w:val="00F204C6"/>
    <w:rsid w:val="00F320D7"/>
    <w:rsid w:val="00F54731"/>
    <w:rsid w:val="00F7089B"/>
    <w:rsid w:val="61D8F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6427DF5"/>
  <w15:chartTrackingRefBased/>
  <w15:docId w15:val="{2A15133F-20AB-481E-99EA-F15B6166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B86B25"/>
    <w:pPr>
      <w:keepNext/>
      <w:keepLines/>
      <w:spacing w:before="240" w:after="0"/>
      <w:outlineLvl w:val="0"/>
    </w:pPr>
    <w:rPr>
      <w:rFonts w:asciiTheme="majorHAnsi" w:eastAsiaTheme="majorEastAsia" w:hAnsiTheme="majorHAnsi" w:cstheme="majorBidi"/>
      <w:color w:val="5F005F" w:themeColor="accent1" w:themeShade="BF"/>
      <w:sz w:val="32"/>
      <w:szCs w:val="32"/>
    </w:rPr>
  </w:style>
  <w:style w:type="paragraph" w:styleId="Heading2">
    <w:name w:val="heading 2"/>
    <w:basedOn w:val="Normal"/>
    <w:next w:val="Normal"/>
    <w:link w:val="Heading2Char"/>
    <w:uiPriority w:val="9"/>
    <w:unhideWhenUsed/>
    <w:qFormat/>
    <w:rsid w:val="00D84C7A"/>
    <w:pPr>
      <w:keepNext/>
      <w:keepLines/>
      <w:spacing w:before="40" w:after="0"/>
      <w:outlineLvl w:val="1"/>
    </w:pPr>
    <w:rPr>
      <w:rFonts w:asciiTheme="majorHAnsi" w:eastAsiaTheme="majorEastAsia" w:hAnsiTheme="majorHAnsi" w:cstheme="majorBidi"/>
      <w:color w:val="5F005F" w:themeColor="accent1" w:themeShade="BF"/>
      <w:sz w:val="26"/>
      <w:szCs w:val="26"/>
    </w:rPr>
  </w:style>
  <w:style w:type="paragraph" w:styleId="Heading3">
    <w:name w:val="heading 3"/>
    <w:basedOn w:val="Normal"/>
    <w:next w:val="Normal"/>
    <w:link w:val="Heading3Char"/>
    <w:uiPriority w:val="9"/>
    <w:unhideWhenUsed/>
    <w:qFormat/>
    <w:rsid w:val="00C91FDD"/>
    <w:pPr>
      <w:keepNext/>
      <w:keepLines/>
      <w:spacing w:before="40" w:after="0"/>
      <w:outlineLvl w:val="2"/>
    </w:pPr>
    <w:rPr>
      <w:rFonts w:asciiTheme="majorHAnsi" w:eastAsiaTheme="majorEastAsia" w:hAnsiTheme="majorHAnsi" w:cstheme="majorBidi"/>
      <w:color w:val="3F003F"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59"/>
    <w:rsid w:val="00C62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6B25"/>
    <w:rPr>
      <w:rFonts w:asciiTheme="majorHAnsi" w:eastAsiaTheme="majorEastAsia" w:hAnsiTheme="majorHAnsi" w:cstheme="majorBidi"/>
      <w:color w:val="5F005F" w:themeColor="accent1" w:themeShade="BF"/>
      <w:sz w:val="32"/>
      <w:szCs w:val="32"/>
    </w:rPr>
  </w:style>
  <w:style w:type="character" w:customStyle="1" w:styleId="Heading2Char">
    <w:name w:val="Heading 2 Char"/>
    <w:basedOn w:val="DefaultParagraphFont"/>
    <w:link w:val="Heading2"/>
    <w:uiPriority w:val="9"/>
    <w:rsid w:val="00D84C7A"/>
    <w:rPr>
      <w:rFonts w:asciiTheme="majorHAnsi" w:eastAsiaTheme="majorEastAsia" w:hAnsiTheme="majorHAnsi" w:cstheme="majorBidi"/>
      <w:color w:val="5F005F" w:themeColor="accent1" w:themeShade="BF"/>
      <w:sz w:val="26"/>
      <w:szCs w:val="26"/>
    </w:rPr>
  </w:style>
  <w:style w:type="paragraph" w:styleId="ListParagraph">
    <w:name w:val="List Paragraph"/>
    <w:basedOn w:val="Normal"/>
    <w:uiPriority w:val="34"/>
    <w:qFormat/>
    <w:rsid w:val="00D84C7A"/>
    <w:pPr>
      <w:ind w:left="720"/>
      <w:contextualSpacing/>
    </w:pPr>
  </w:style>
  <w:style w:type="paragraph" w:styleId="TOCHeading">
    <w:name w:val="TOC Heading"/>
    <w:basedOn w:val="Heading1"/>
    <w:next w:val="Normal"/>
    <w:uiPriority w:val="39"/>
    <w:unhideWhenUsed/>
    <w:qFormat/>
    <w:rsid w:val="00351BCA"/>
    <w:pPr>
      <w:spacing w:line="259" w:lineRule="auto"/>
      <w:outlineLvl w:val="9"/>
    </w:pPr>
    <w:rPr>
      <w:lang w:val="en-US"/>
    </w:rPr>
  </w:style>
  <w:style w:type="paragraph" w:styleId="TOC1">
    <w:name w:val="toc 1"/>
    <w:basedOn w:val="Normal"/>
    <w:next w:val="Normal"/>
    <w:autoRedefine/>
    <w:uiPriority w:val="39"/>
    <w:unhideWhenUsed/>
    <w:rsid w:val="00351BCA"/>
    <w:pPr>
      <w:spacing w:after="100"/>
    </w:pPr>
  </w:style>
  <w:style w:type="paragraph" w:styleId="TOC2">
    <w:name w:val="toc 2"/>
    <w:basedOn w:val="Normal"/>
    <w:next w:val="Normal"/>
    <w:autoRedefine/>
    <w:uiPriority w:val="39"/>
    <w:unhideWhenUsed/>
    <w:rsid w:val="00351BCA"/>
    <w:pPr>
      <w:spacing w:after="100"/>
      <w:ind w:left="240"/>
    </w:pPr>
  </w:style>
  <w:style w:type="character" w:styleId="Hyperlink">
    <w:name w:val="Hyperlink"/>
    <w:basedOn w:val="DefaultParagraphFont"/>
    <w:uiPriority w:val="99"/>
    <w:unhideWhenUsed/>
    <w:rsid w:val="00351BCA"/>
    <w:rPr>
      <w:color w:val="800080" w:themeColor="hyperlink"/>
      <w:u w:val="single"/>
    </w:rPr>
  </w:style>
  <w:style w:type="paragraph" w:styleId="Header">
    <w:name w:val="header"/>
    <w:basedOn w:val="Normal"/>
    <w:link w:val="HeaderChar"/>
    <w:uiPriority w:val="99"/>
    <w:unhideWhenUsed/>
    <w:rsid w:val="006A5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B50"/>
    <w:rPr>
      <w:rFonts w:ascii="Arial" w:hAnsi="Arial"/>
      <w:sz w:val="24"/>
    </w:rPr>
  </w:style>
  <w:style w:type="paragraph" w:styleId="Footer">
    <w:name w:val="footer"/>
    <w:basedOn w:val="Normal"/>
    <w:link w:val="FooterChar"/>
    <w:uiPriority w:val="99"/>
    <w:unhideWhenUsed/>
    <w:rsid w:val="006A5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B50"/>
    <w:rPr>
      <w:rFonts w:ascii="Arial" w:hAnsi="Arial"/>
      <w:sz w:val="24"/>
    </w:rPr>
  </w:style>
  <w:style w:type="character" w:customStyle="1" w:styleId="Heading3Char">
    <w:name w:val="Heading 3 Char"/>
    <w:basedOn w:val="DefaultParagraphFont"/>
    <w:link w:val="Heading3"/>
    <w:uiPriority w:val="9"/>
    <w:rsid w:val="00C91FDD"/>
    <w:rPr>
      <w:rFonts w:asciiTheme="majorHAnsi" w:eastAsiaTheme="majorEastAsia" w:hAnsiTheme="majorHAnsi" w:cstheme="majorBidi"/>
      <w:color w:val="3F003F" w:themeColor="accent1" w:themeShade="7F"/>
      <w:sz w:val="24"/>
      <w:szCs w:val="24"/>
    </w:rPr>
  </w:style>
  <w:style w:type="paragraph" w:styleId="TOC3">
    <w:name w:val="toc 3"/>
    <w:basedOn w:val="Normal"/>
    <w:next w:val="Normal"/>
    <w:autoRedefine/>
    <w:uiPriority w:val="39"/>
    <w:unhideWhenUsed/>
    <w:rsid w:val="00C80C20"/>
    <w:pPr>
      <w:spacing w:after="100"/>
      <w:ind w:left="480"/>
    </w:pPr>
  </w:style>
  <w:style w:type="character" w:styleId="UnresolvedMention">
    <w:name w:val="Unresolved Mention"/>
    <w:basedOn w:val="DefaultParagraphFont"/>
    <w:uiPriority w:val="99"/>
    <w:semiHidden/>
    <w:unhideWhenUsed/>
    <w:rsid w:val="008467B5"/>
    <w:rPr>
      <w:color w:val="808080"/>
      <w:shd w:val="clear" w:color="auto" w:fill="E6E6E6"/>
    </w:rPr>
  </w:style>
  <w:style w:type="character" w:styleId="CommentReference">
    <w:name w:val="annotation reference"/>
    <w:basedOn w:val="DefaultParagraphFont"/>
    <w:uiPriority w:val="99"/>
    <w:semiHidden/>
    <w:unhideWhenUsed/>
    <w:rsid w:val="00844B56"/>
    <w:rPr>
      <w:sz w:val="16"/>
      <w:szCs w:val="16"/>
    </w:rPr>
  </w:style>
  <w:style w:type="paragraph" w:styleId="CommentText">
    <w:name w:val="annotation text"/>
    <w:basedOn w:val="Normal"/>
    <w:link w:val="CommentTextChar"/>
    <w:uiPriority w:val="99"/>
    <w:semiHidden/>
    <w:unhideWhenUsed/>
    <w:rsid w:val="00844B56"/>
    <w:pPr>
      <w:spacing w:line="240" w:lineRule="auto"/>
    </w:pPr>
    <w:rPr>
      <w:sz w:val="20"/>
      <w:szCs w:val="20"/>
    </w:rPr>
  </w:style>
  <w:style w:type="character" w:customStyle="1" w:styleId="CommentTextChar">
    <w:name w:val="Comment Text Char"/>
    <w:basedOn w:val="DefaultParagraphFont"/>
    <w:link w:val="CommentText"/>
    <w:uiPriority w:val="99"/>
    <w:semiHidden/>
    <w:rsid w:val="00844B5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4B56"/>
    <w:rPr>
      <w:b/>
      <w:bCs/>
    </w:rPr>
  </w:style>
  <w:style w:type="character" w:customStyle="1" w:styleId="CommentSubjectChar">
    <w:name w:val="Comment Subject Char"/>
    <w:basedOn w:val="CommentTextChar"/>
    <w:link w:val="CommentSubject"/>
    <w:uiPriority w:val="99"/>
    <w:semiHidden/>
    <w:rsid w:val="00844B56"/>
    <w:rPr>
      <w:rFonts w:ascii="Arial" w:hAnsi="Arial"/>
      <w:b/>
      <w:bCs/>
      <w:sz w:val="20"/>
      <w:szCs w:val="20"/>
    </w:rPr>
  </w:style>
  <w:style w:type="paragraph" w:styleId="BalloonText">
    <w:name w:val="Balloon Text"/>
    <w:basedOn w:val="Normal"/>
    <w:link w:val="BalloonTextChar"/>
    <w:uiPriority w:val="99"/>
    <w:semiHidden/>
    <w:unhideWhenUsed/>
    <w:rsid w:val="00844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B56"/>
    <w:rPr>
      <w:rFonts w:ascii="Segoe UI" w:hAnsi="Segoe UI" w:cs="Segoe UI"/>
      <w:sz w:val="18"/>
      <w:szCs w:val="18"/>
    </w:rPr>
  </w:style>
  <w:style w:type="paragraph" w:customStyle="1" w:styleId="Para1RO">
    <w:name w:val="Para 1 (RO)"/>
    <w:next w:val="Normal"/>
    <w:qFormat/>
    <w:rsid w:val="001C7E65"/>
    <w:pPr>
      <w:keepLines/>
      <w:spacing w:after="120"/>
      <w:jc w:val="both"/>
    </w:pPr>
    <w:rPr>
      <w:rFonts w:ascii="Arial Narrow" w:eastAsia="Times New Roman" w:hAnsi="Arial Narrow" w:cs="Times New Roman"/>
      <w:sz w:val="24"/>
    </w:rPr>
  </w:style>
  <w:style w:type="paragraph" w:styleId="Title">
    <w:name w:val="Title"/>
    <w:basedOn w:val="NoSpacing"/>
    <w:next w:val="Normal"/>
    <w:link w:val="TitleChar"/>
    <w:uiPriority w:val="10"/>
    <w:qFormat/>
    <w:rsid w:val="001C7E65"/>
    <w:rPr>
      <w:rFonts w:ascii="Georgia" w:hAnsi="Georgia"/>
      <w:sz w:val="96"/>
    </w:rPr>
  </w:style>
  <w:style w:type="character" w:customStyle="1" w:styleId="TitleChar">
    <w:name w:val="Title Char"/>
    <w:basedOn w:val="DefaultParagraphFont"/>
    <w:link w:val="Title"/>
    <w:uiPriority w:val="10"/>
    <w:rsid w:val="001C7E65"/>
    <w:rPr>
      <w:rFonts w:ascii="Georgia" w:hAnsi="Georgia"/>
      <w:sz w:val="96"/>
    </w:rPr>
  </w:style>
  <w:style w:type="table" w:customStyle="1" w:styleId="TableGrid1">
    <w:name w:val="Table Grid1"/>
    <w:basedOn w:val="TableNormal"/>
    <w:next w:val="TableGrid"/>
    <w:uiPriority w:val="59"/>
    <w:rsid w:val="00446A8A"/>
    <w:pPr>
      <w:spacing w:before="120" w:after="120" w:line="240" w:lineRule="auto"/>
      <w:jc w:val="both"/>
    </w:pPr>
    <w:rPr>
      <w:rFonts w:ascii="Arial Narrow" w:eastAsia="Calibri" w:hAnsi="Arial Narrow" w:cs="Times New Roman"/>
      <w:sz w:val="24"/>
      <w:szCs w:val="24"/>
      <w:lang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58904">
      <w:bodyDiv w:val="1"/>
      <w:marLeft w:val="0"/>
      <w:marRight w:val="0"/>
      <w:marTop w:val="0"/>
      <w:marBottom w:val="0"/>
      <w:divBdr>
        <w:top w:val="none" w:sz="0" w:space="0" w:color="auto"/>
        <w:left w:val="none" w:sz="0" w:space="0" w:color="auto"/>
        <w:bottom w:val="none" w:sz="0" w:space="0" w:color="auto"/>
        <w:right w:val="none" w:sz="0" w:space="0" w:color="auto"/>
      </w:divBdr>
    </w:div>
    <w:div w:id="859973268">
      <w:bodyDiv w:val="1"/>
      <w:marLeft w:val="0"/>
      <w:marRight w:val="0"/>
      <w:marTop w:val="0"/>
      <w:marBottom w:val="0"/>
      <w:divBdr>
        <w:top w:val="none" w:sz="0" w:space="0" w:color="auto"/>
        <w:left w:val="none" w:sz="0" w:space="0" w:color="auto"/>
        <w:bottom w:val="none" w:sz="0" w:space="0" w:color="auto"/>
        <w:right w:val="none" w:sz="0" w:space="0" w:color="auto"/>
      </w:divBdr>
    </w:div>
    <w:div w:id="179517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sch.cbd.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bsch.cbd.in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trategy custom">
      <a:dk1>
        <a:sysClr val="windowText" lastClr="000000"/>
      </a:dk1>
      <a:lt1>
        <a:sysClr val="window" lastClr="FFFFFF"/>
      </a:lt1>
      <a:dk2>
        <a:srgbClr val="1F497D"/>
      </a:dk2>
      <a:lt2>
        <a:srgbClr val="EEECE1"/>
      </a:lt2>
      <a:accent1>
        <a:srgbClr val="800080"/>
      </a:accent1>
      <a:accent2>
        <a:srgbClr val="800080"/>
      </a:accent2>
      <a:accent3>
        <a:srgbClr val="800080"/>
      </a:accent3>
      <a:accent4>
        <a:srgbClr val="800080"/>
      </a:accent4>
      <a:accent5>
        <a:srgbClr val="800080"/>
      </a:accent5>
      <a:accent6>
        <a:srgbClr val="800080"/>
      </a:accent6>
      <a:hlink>
        <a:srgbClr val="80008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2598A-3516-4A09-91DD-821989AF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1102</Words>
  <Characters>6286</Characters>
  <Application>Microsoft Office Word</Application>
  <DocSecurity>0</DocSecurity>
  <Lines>52</Lines>
  <Paragraphs>14</Paragraphs>
  <ScaleCrop>false</ScaleCrop>
  <Company>Edge Hill University</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Nagoya Protocol Checklist</dc:title>
  <dc:subject/>
  <dc:creator>Research Office</dc:creator>
  <cp:keywords/>
  <dc:description/>
  <cp:lastModifiedBy>Philip Bentley</cp:lastModifiedBy>
  <cp:revision>3</cp:revision>
  <dcterms:created xsi:type="dcterms:W3CDTF">2020-08-27T13:41:00Z</dcterms:created>
  <dcterms:modified xsi:type="dcterms:W3CDTF">2020-08-27T13:43:00Z</dcterms:modified>
</cp:coreProperties>
</file>